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hAnsi="宋体"/>
          <w:b/>
          <w:bCs/>
          <w:sz w:val="52"/>
          <w:szCs w:val="52"/>
        </w:rPr>
      </w:pPr>
      <w:r>
        <w:rPr>
          <w:rFonts w:hint="eastAsia" w:hAnsi="宋体"/>
          <w:b/>
          <w:sz w:val="52"/>
          <w:szCs w:val="52"/>
        </w:rPr>
        <w:t>长沙市轨道交通运营有限公司</w:t>
      </w:r>
    </w:p>
    <w:p>
      <w:pPr>
        <w:pStyle w:val="27"/>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7"/>
        <w:adjustRightInd w:val="0"/>
        <w:snapToGrid w:val="0"/>
        <w:spacing w:before="159" w:beforeLines="50" w:line="360" w:lineRule="auto"/>
        <w:rPr>
          <w:b/>
          <w:sz w:val="32"/>
          <w:szCs w:val="32"/>
        </w:rPr>
      </w:pPr>
    </w:p>
    <w:p>
      <w:pPr>
        <w:pStyle w:val="27"/>
        <w:adjustRightInd w:val="0"/>
        <w:snapToGrid w:val="0"/>
        <w:spacing w:line="360" w:lineRule="auto"/>
        <w:rPr>
          <w:rFonts w:ascii="华文中宋" w:hAnsi="华文中宋" w:eastAsia="华文中宋"/>
          <w:sz w:val="32"/>
          <w:szCs w:val="32"/>
        </w:rPr>
      </w:pPr>
    </w:p>
    <w:p>
      <w:pPr>
        <w:spacing w:line="360" w:lineRule="auto"/>
        <w:ind w:left="2574" w:leftChars="155" w:hanging="2249" w:hangingChars="700"/>
        <w:jc w:val="left"/>
        <w:rPr>
          <w:rFonts w:hint="eastAsia"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长沙市轨道交通2号线电客车首轮大修、4号线电客车首轮架修概算编制咨询服务项目</w:t>
      </w:r>
    </w:p>
    <w:p>
      <w:pPr>
        <w:spacing w:line="360" w:lineRule="auto"/>
        <w:ind w:left="2240" w:firstLine="321" w:firstLineChars="100"/>
        <w:jc w:val="left"/>
        <w:rPr>
          <w:rFonts w:ascii="宋体" w:hAnsi="宋体" w:cs="Courier New"/>
          <w:b/>
          <w:sz w:val="32"/>
          <w:szCs w:val="21"/>
        </w:rPr>
      </w:pPr>
    </w:p>
    <w:p>
      <w:pPr>
        <w:pStyle w:val="27"/>
        <w:adjustRightInd w:val="0"/>
        <w:snapToGrid w:val="0"/>
        <w:spacing w:line="360" w:lineRule="auto"/>
        <w:ind w:firstLine="321" w:firstLineChars="100"/>
        <w:jc w:val="left"/>
        <w:rPr>
          <w:rFonts w:hint="eastAsia" w:hAnsi="宋体"/>
          <w:b/>
          <w:sz w:val="32"/>
          <w:highlight w:val="yellow"/>
          <w:u w:val="single"/>
        </w:rPr>
      </w:pPr>
      <w:r>
        <w:rPr>
          <w:rFonts w:hint="eastAsia" w:hAnsi="宋体"/>
          <w:b/>
          <w:sz w:val="32"/>
        </w:rPr>
        <w:t>采购单位名称：</w:t>
      </w:r>
      <w:r>
        <w:rPr>
          <w:rFonts w:hint="eastAsia" w:hAnsi="宋体"/>
          <w:b/>
          <w:sz w:val="32"/>
          <w:highlight w:val="none"/>
          <w:u w:val="single"/>
        </w:rPr>
        <w:t>长沙市轨道交通运营有限公司</w:t>
      </w:r>
    </w:p>
    <w:p>
      <w:pPr>
        <w:pStyle w:val="27"/>
        <w:adjustRightInd w:val="0"/>
        <w:snapToGrid w:val="0"/>
        <w:spacing w:line="360" w:lineRule="auto"/>
        <w:ind w:firstLine="2570" w:firstLineChars="800"/>
        <w:jc w:val="left"/>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四</w:t>
      </w:r>
      <w:r>
        <w:rPr>
          <w:rFonts w:hint="eastAsia" w:hAnsi="宋体"/>
          <w:b/>
          <w:sz w:val="32"/>
          <w:u w:val="single"/>
        </w:rPr>
        <w:t>号线建设发展有限公司</w:t>
      </w:r>
    </w:p>
    <w:p>
      <w:pPr>
        <w:pStyle w:val="27"/>
        <w:adjustRightInd w:val="0"/>
        <w:snapToGrid w:val="0"/>
        <w:spacing w:line="360" w:lineRule="auto"/>
        <w:ind w:firstLine="2570" w:firstLineChars="800"/>
        <w:jc w:val="left"/>
        <w:rPr>
          <w:rFonts w:hint="eastAsia" w:hAnsi="宋体"/>
          <w:b/>
          <w:sz w:val="32"/>
          <w:u w:val="single"/>
        </w:rPr>
      </w:pPr>
    </w:p>
    <w:p>
      <w:pPr>
        <w:pStyle w:val="27"/>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长轨运服采【2023】001号</w:t>
      </w:r>
    </w:p>
    <w:p>
      <w:pPr>
        <w:pStyle w:val="27"/>
        <w:adjustRightInd w:val="0"/>
        <w:snapToGrid w:val="0"/>
        <w:spacing w:before="159" w:beforeLines="50" w:line="360" w:lineRule="auto"/>
        <w:rPr>
          <w:b/>
          <w:sz w:val="32"/>
          <w:szCs w:val="32"/>
        </w:rPr>
      </w:pPr>
    </w:p>
    <w:p>
      <w:pPr>
        <w:pStyle w:val="27"/>
        <w:adjustRightInd w:val="0"/>
        <w:snapToGrid w:val="0"/>
        <w:spacing w:before="159" w:beforeLines="50" w:line="360" w:lineRule="auto"/>
        <w:rPr>
          <w:b/>
          <w:sz w:val="32"/>
          <w:szCs w:val="32"/>
        </w:rPr>
      </w:pPr>
    </w:p>
    <w:p>
      <w:pPr>
        <w:pStyle w:val="27"/>
        <w:adjustRightInd w:val="0"/>
        <w:snapToGrid w:val="0"/>
        <w:spacing w:line="360" w:lineRule="auto"/>
        <w:rPr>
          <w:rFonts w:ascii="仿宋_GB2312" w:hAnsi="宋体" w:eastAsia="仿宋_GB2312"/>
          <w:b/>
          <w:sz w:val="32"/>
        </w:rPr>
      </w:pPr>
    </w:p>
    <w:p>
      <w:pPr>
        <w:pStyle w:val="27"/>
        <w:adjustRightInd w:val="0"/>
        <w:snapToGrid w:val="0"/>
        <w:spacing w:line="360" w:lineRule="auto"/>
        <w:rPr>
          <w:rFonts w:ascii="仿宋_GB2312" w:hAnsi="宋体" w:eastAsia="仿宋_GB2312"/>
          <w:b/>
          <w:sz w:val="32"/>
        </w:rPr>
      </w:pPr>
    </w:p>
    <w:p>
      <w:pPr>
        <w:pStyle w:val="27"/>
        <w:adjustRightInd w:val="0"/>
        <w:snapToGrid w:val="0"/>
        <w:spacing w:line="360" w:lineRule="auto"/>
        <w:rPr>
          <w:rFonts w:ascii="仿宋_GB2312" w:hAnsi="宋体" w:eastAsia="仿宋_GB2312"/>
          <w:bCs/>
          <w:sz w:val="32"/>
        </w:rPr>
      </w:pPr>
    </w:p>
    <w:p>
      <w:pPr>
        <w:pStyle w:val="27"/>
        <w:adjustRightInd w:val="0"/>
        <w:snapToGrid w:val="0"/>
        <w:spacing w:line="360" w:lineRule="auto"/>
        <w:jc w:val="center"/>
        <w:rPr>
          <w:rFonts w:hAnsi="宋体"/>
          <w:b/>
          <w:color w:val="auto"/>
          <w:sz w:val="32"/>
        </w:rPr>
      </w:pPr>
      <w:r>
        <w:rPr>
          <w:rFonts w:hint="eastAsia" w:hAnsi="宋体"/>
          <w:b/>
          <w:sz w:val="32"/>
        </w:rPr>
        <w:t>二〇二</w:t>
      </w:r>
      <w:r>
        <w:rPr>
          <w:rFonts w:hint="eastAsia" w:hAnsi="宋体"/>
          <w:b/>
          <w:sz w:val="32"/>
          <w:lang w:val="en-US" w:eastAsia="zh-CN"/>
        </w:rPr>
        <w:t>三</w:t>
      </w:r>
      <w:r>
        <w:rPr>
          <w:rFonts w:hint="eastAsia" w:hAnsi="宋体"/>
          <w:b/>
          <w:sz w:val="32"/>
        </w:rPr>
        <w:t>年</w:t>
      </w:r>
      <w:r>
        <w:rPr>
          <w:rFonts w:hint="eastAsia" w:hAnsi="宋体"/>
          <w:b/>
          <w:sz w:val="32"/>
          <w:lang w:val="en-US" w:eastAsia="zh-CN"/>
        </w:rPr>
        <w:t>三</w:t>
      </w:r>
      <w:r>
        <w:rPr>
          <w:rFonts w:hint="eastAsia" w:hAnsi="宋体"/>
          <w:b/>
          <w:color w:val="auto"/>
          <w:sz w:val="32"/>
        </w:rPr>
        <w:t>月</w:t>
      </w:r>
    </w:p>
    <w:p>
      <w:pPr>
        <w:pStyle w:val="27"/>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_Toc8308 </w:instrText>
      </w:r>
      <w:r>
        <w:rPr>
          <w:rFonts w:hint="eastAsia" w:ascii="宋体" w:hAnsi="宋体" w:cs="宋体"/>
        </w:rPr>
        <w:fldChar w:fldCharType="separate"/>
      </w:r>
      <w:r>
        <w:rPr>
          <w:rFonts w:hint="eastAsia" w:ascii="宋体" w:hAnsi="宋体" w:eastAsia="宋体" w:cs="宋体"/>
          <w:bCs w:val="0"/>
          <w:szCs w:val="32"/>
          <w:lang w:eastAsia="zh-CN"/>
        </w:rPr>
        <w:t>第一章</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 xml:space="preserve"> 谈判邀请公告</w:t>
      </w:r>
      <w:r>
        <w:tab/>
      </w:r>
      <w:r>
        <w:fldChar w:fldCharType="begin"/>
      </w:r>
      <w:r>
        <w:instrText xml:space="preserve"> PAGEREF _Toc8308 \h </w:instrText>
      </w:r>
      <w:r>
        <w:fldChar w:fldCharType="separate"/>
      </w:r>
      <w:r>
        <w:t>1</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_Toc13238 </w:instrText>
      </w:r>
      <w:r>
        <w:rPr>
          <w:rFonts w:hint="eastAsia" w:ascii="宋体" w:hAnsi="宋体" w:cs="宋体"/>
        </w:rPr>
        <w:fldChar w:fldCharType="separate"/>
      </w:r>
      <w:r>
        <w:rPr>
          <w:rFonts w:hint="eastAsia" w:ascii="宋体" w:hAnsi="宋体" w:cs="宋体"/>
          <w:bCs w:val="0"/>
          <w:szCs w:val="32"/>
        </w:rPr>
        <w:t>第二章  谈判须知</w:t>
      </w:r>
      <w:r>
        <w:tab/>
      </w:r>
      <w:r>
        <w:fldChar w:fldCharType="begin"/>
      </w:r>
      <w:r>
        <w:instrText xml:space="preserve"> PAGEREF _Toc13238 \h </w:instrText>
      </w:r>
      <w:r>
        <w:fldChar w:fldCharType="separate"/>
      </w:r>
      <w:r>
        <w:t>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_Toc9168 </w:instrText>
      </w:r>
      <w:r>
        <w:rPr>
          <w:rFonts w:hint="eastAsia" w:ascii="宋体" w:hAnsi="宋体" w:cs="宋体"/>
        </w:rPr>
        <w:fldChar w:fldCharType="separate"/>
      </w:r>
      <w:r>
        <w:rPr>
          <w:rFonts w:hint="eastAsia" w:ascii="宋体" w:hAnsi="宋体" w:cs="宋体"/>
        </w:rPr>
        <w:t>谈判须知前附表</w:t>
      </w:r>
      <w:r>
        <w:tab/>
      </w:r>
      <w:r>
        <w:fldChar w:fldCharType="begin"/>
      </w:r>
      <w:r>
        <w:instrText xml:space="preserve"> PAGEREF _Toc9168 \h </w:instrText>
      </w:r>
      <w:r>
        <w:fldChar w:fldCharType="separate"/>
      </w:r>
      <w:r>
        <w:t>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_Toc17298 </w:instrText>
      </w:r>
      <w:r>
        <w:rPr>
          <w:rFonts w:hint="eastAsia" w:ascii="宋体" w:hAnsi="宋体" w:cs="宋体"/>
        </w:rPr>
        <w:fldChar w:fldCharType="separate"/>
      </w:r>
      <w:r>
        <w:rPr>
          <w:rFonts w:hint="eastAsia" w:ascii="宋体" w:hAnsi="宋体" w:cs="宋体"/>
        </w:rPr>
        <w:t>谈判须知正文</w:t>
      </w:r>
      <w:r>
        <w:tab/>
      </w:r>
      <w:r>
        <w:fldChar w:fldCharType="begin"/>
      </w:r>
      <w:r>
        <w:instrText xml:space="preserve"> PAGEREF _Toc17298 \h </w:instrText>
      </w:r>
      <w:r>
        <w:fldChar w:fldCharType="separate"/>
      </w:r>
      <w:r>
        <w:t>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_Toc2826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_Toc2826 \h </w:instrText>
      </w:r>
      <w:r>
        <w:fldChar w:fldCharType="separate"/>
      </w:r>
      <w:r>
        <w:t>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_Toc7066 </w:instrText>
      </w:r>
      <w:r>
        <w:rPr>
          <w:rFonts w:hint="eastAsia" w:ascii="宋体" w:hAnsi="宋体" w:cs="宋体"/>
        </w:rPr>
        <w:fldChar w:fldCharType="separate"/>
      </w:r>
      <w:r>
        <w:rPr>
          <w:rFonts w:hint="eastAsia" w:ascii="宋体" w:hAnsi="宋体" w:cs="宋体"/>
          <w:szCs w:val="21"/>
        </w:rPr>
        <w:t>二、谈判文件</w:t>
      </w:r>
      <w:r>
        <w:tab/>
      </w:r>
      <w:r>
        <w:fldChar w:fldCharType="begin"/>
      </w:r>
      <w:r>
        <w:instrText xml:space="preserve"> PAGEREF _Toc7066 \h </w:instrText>
      </w:r>
      <w:r>
        <w:fldChar w:fldCharType="separate"/>
      </w:r>
      <w:r>
        <w:t>9</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_Toc25456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_Toc25456 \h </w:instrText>
      </w:r>
      <w:r>
        <w:fldChar w:fldCharType="separate"/>
      </w:r>
      <w:r>
        <w:t>9</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_Toc21518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_Toc21518 \h </w:instrText>
      </w:r>
      <w:r>
        <w:fldChar w:fldCharType="separate"/>
      </w:r>
      <w:r>
        <w:t>11</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_Toc19395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_Toc19395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_Toc25123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_Toc25123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_Toc22523 </w:instrText>
      </w:r>
      <w:r>
        <w:rPr>
          <w:rFonts w:hint="eastAsia" w:ascii="宋体" w:hAnsi="宋体" w:cs="宋体"/>
        </w:rPr>
        <w:fldChar w:fldCharType="separate"/>
      </w:r>
      <w:r>
        <w:rPr>
          <w:rFonts w:hint="eastAsia" w:ascii="宋体" w:hAnsi="宋体" w:cs="宋体"/>
          <w:szCs w:val="21"/>
        </w:rPr>
        <w:t>七、中选结果与授予合同</w:t>
      </w:r>
      <w:r>
        <w:tab/>
      </w:r>
      <w:r>
        <w:fldChar w:fldCharType="begin"/>
      </w:r>
      <w:r>
        <w:instrText xml:space="preserve"> PAGEREF _Toc22523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_Toc30525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_Toc30525 \h </w:instrText>
      </w:r>
      <w:r>
        <w:fldChar w:fldCharType="separate"/>
      </w:r>
      <w:r>
        <w:t>13</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_Toc21513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_Toc21513 \h </w:instrText>
      </w:r>
      <w:r>
        <w:fldChar w:fldCharType="separate"/>
      </w:r>
      <w:r>
        <w:t>15</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_Toc5922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_Toc5922 \h </w:instrText>
      </w:r>
      <w:r>
        <w:fldChar w:fldCharType="separate"/>
      </w:r>
      <w:r>
        <w:t>17</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_Toc26058 </w:instrText>
      </w:r>
      <w:r>
        <w:rPr>
          <w:rFonts w:hint="eastAsia" w:ascii="宋体" w:hAnsi="宋体" w:cs="宋体"/>
        </w:rPr>
        <w:fldChar w:fldCharType="separate"/>
      </w:r>
      <w:r>
        <w:rPr>
          <w:rFonts w:hint="eastAsia" w:ascii="宋体" w:hAnsi="宋体" w:eastAsia="宋体" w:cs="宋体"/>
          <w:bCs w:val="0"/>
          <w:szCs w:val="32"/>
          <w:lang w:eastAsia="zh-CN"/>
        </w:rPr>
        <w:t>第五章</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 xml:space="preserve"> 谈判最高限价</w:t>
      </w:r>
      <w:r>
        <w:tab/>
      </w:r>
      <w:r>
        <w:fldChar w:fldCharType="begin"/>
      </w:r>
      <w:r>
        <w:instrText xml:space="preserve"> PAGEREF _Toc26058 \h </w:instrText>
      </w:r>
      <w:r>
        <w:fldChar w:fldCharType="separate"/>
      </w:r>
      <w:r>
        <w:t>18</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_Toc1188 </w:instrText>
      </w:r>
      <w:r>
        <w:rPr>
          <w:rFonts w:hint="eastAsia" w:ascii="宋体" w:hAnsi="宋体" w:cs="宋体"/>
        </w:rPr>
        <w:fldChar w:fldCharType="separate"/>
      </w:r>
      <w:r>
        <w:rPr>
          <w:rFonts w:hint="eastAsia" w:ascii="宋体" w:hAnsi="宋体" w:cs="宋体"/>
          <w:bCs w:val="0"/>
          <w:szCs w:val="32"/>
        </w:rPr>
        <w:t>第六章  合同格式条款</w:t>
      </w:r>
      <w:r>
        <w:tab/>
      </w:r>
      <w:r>
        <w:fldChar w:fldCharType="begin"/>
      </w:r>
      <w:r>
        <w:instrText xml:space="preserve"> PAGEREF _Toc1188 \h </w:instrText>
      </w:r>
      <w:r>
        <w:fldChar w:fldCharType="separate"/>
      </w:r>
      <w:r>
        <w:t>19</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_Toc20370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_Toc20370 \h </w:instrText>
      </w:r>
      <w:r>
        <w:fldChar w:fldCharType="separate"/>
      </w:r>
      <w:r>
        <w:t>46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_Toc24708 </w:instrText>
      </w:r>
      <w:r>
        <w:rPr>
          <w:rFonts w:hint="eastAsia" w:ascii="宋体" w:hAnsi="宋体" w:cs="宋体"/>
        </w:rPr>
        <w:fldChar w:fldCharType="separate"/>
      </w:r>
      <w:r>
        <w:rPr>
          <w:rFonts w:hint="eastAsia" w:ascii="宋体" w:hAnsi="宋体" w:cs="宋体"/>
          <w:szCs w:val="32"/>
        </w:rPr>
        <w:t>一、谈判承诺书</w:t>
      </w:r>
      <w:r>
        <w:tab/>
      </w:r>
      <w:r>
        <w:fldChar w:fldCharType="begin"/>
      </w:r>
      <w:r>
        <w:instrText xml:space="preserve"> PAGEREF _Toc24708 \h </w:instrText>
      </w:r>
      <w:r>
        <w:fldChar w:fldCharType="separate"/>
      </w:r>
      <w:r>
        <w:t>48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_Toc24556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_Toc24556 \h </w:instrText>
      </w:r>
      <w:r>
        <w:fldChar w:fldCharType="separate"/>
      </w:r>
      <w:r>
        <w:t>50</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_Toc29865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_Toc29865 \h </w:instrText>
      </w:r>
      <w:r>
        <w:fldChar w:fldCharType="separate"/>
      </w:r>
      <w:r>
        <w:t>51</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_Toc16519 </w:instrText>
      </w:r>
      <w:r>
        <w:rPr>
          <w:rFonts w:hint="eastAsia" w:ascii="宋体" w:hAnsi="宋体" w:cs="宋体"/>
        </w:rPr>
        <w:fldChar w:fldCharType="separate"/>
      </w:r>
      <w:r>
        <w:rPr>
          <w:rFonts w:hint="eastAsia" w:ascii="宋体" w:hAnsi="宋体" w:cs="宋体"/>
          <w:szCs w:val="32"/>
        </w:rPr>
        <w:t>四、谈判单位资格证明文件</w:t>
      </w:r>
      <w:r>
        <w:tab/>
      </w:r>
      <w:r>
        <w:fldChar w:fldCharType="begin"/>
      </w:r>
      <w:r>
        <w:instrText xml:space="preserve"> PAGEREF _Toc16519 \h </w:instrText>
      </w:r>
      <w:r>
        <w:fldChar w:fldCharType="separate"/>
      </w:r>
      <w:r>
        <w:t>52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_Toc13791 </w:instrText>
      </w:r>
      <w:r>
        <w:rPr>
          <w:rFonts w:hint="eastAsia" w:ascii="宋体" w:hAnsi="宋体" w:cs="宋体"/>
        </w:rPr>
        <w:fldChar w:fldCharType="separate"/>
      </w:r>
      <w:r>
        <w:rPr>
          <w:rFonts w:hint="eastAsia" w:ascii="宋体" w:hAnsi="宋体" w:cs="宋体"/>
          <w:szCs w:val="32"/>
        </w:rPr>
        <w:t>五、服务方案</w:t>
      </w:r>
      <w:r>
        <w:tab/>
      </w:r>
      <w:r>
        <w:fldChar w:fldCharType="begin"/>
      </w:r>
      <w:r>
        <w:instrText xml:space="preserve"> PAGEREF _Toc13791 \h </w:instrText>
      </w:r>
      <w:r>
        <w:fldChar w:fldCharType="separate"/>
      </w:r>
      <w:r>
        <w:t>54</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_Toc9579 </w:instrText>
      </w:r>
      <w:r>
        <w:rPr>
          <w:rFonts w:hint="eastAsia" w:ascii="宋体" w:hAnsi="宋体" w:cs="宋体"/>
        </w:rPr>
        <w:fldChar w:fldCharType="separate"/>
      </w:r>
      <w:r>
        <w:rPr>
          <w:rFonts w:hint="eastAsia" w:ascii="宋体" w:hAnsi="宋体" w:cs="宋体"/>
          <w:szCs w:val="32"/>
          <w:lang w:eastAsia="zh-CN"/>
        </w:rPr>
        <w:t>六、</w:t>
      </w:r>
      <w:r>
        <w:rPr>
          <w:rFonts w:hint="eastAsia" w:ascii="宋体" w:hAnsi="宋体" w:cs="宋体"/>
          <w:szCs w:val="32"/>
        </w:rPr>
        <w:t>报价一览表</w:t>
      </w:r>
      <w:r>
        <w:tab/>
      </w:r>
      <w:r>
        <w:fldChar w:fldCharType="begin"/>
      </w:r>
      <w:r>
        <w:instrText xml:space="preserve"> PAGEREF _Toc9579 \h </w:instrText>
      </w:r>
      <w:r>
        <w:fldChar w:fldCharType="separate"/>
      </w:r>
      <w:r>
        <w:t>55</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_Toc6330 </w:instrText>
      </w:r>
      <w:r>
        <w:rPr>
          <w:rFonts w:hint="eastAsia" w:ascii="宋体" w:hAnsi="宋体" w:cs="宋体"/>
        </w:rPr>
        <w:fldChar w:fldCharType="separate"/>
      </w:r>
      <w:r>
        <w:rPr>
          <w:rFonts w:hint="eastAsia" w:ascii="宋体" w:hAnsi="宋体" w:cs="宋体"/>
          <w:szCs w:val="32"/>
          <w:highlight w:val="none"/>
          <w:lang w:val="en-US" w:eastAsia="zh-CN"/>
        </w:rPr>
        <w:t>七、</w:t>
      </w:r>
      <w:r>
        <w:rPr>
          <w:rFonts w:hint="eastAsia" w:ascii="宋体" w:hAnsi="宋体" w:eastAsia="宋体" w:cs="宋体"/>
          <w:szCs w:val="32"/>
          <w:highlight w:val="none"/>
        </w:rPr>
        <w:t>分项价格表</w:t>
      </w:r>
      <w:r>
        <w:tab/>
      </w:r>
      <w:r>
        <w:fldChar w:fldCharType="begin"/>
      </w:r>
      <w:r>
        <w:instrText xml:space="preserve"> PAGEREF _Toc6330 \h </w:instrText>
      </w:r>
      <w:r>
        <w:fldChar w:fldCharType="separate"/>
      </w:r>
      <w:r>
        <w:t>56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_Toc9958 </w:instrText>
      </w:r>
      <w:r>
        <w:rPr>
          <w:rFonts w:hint="eastAsia" w:ascii="宋体" w:hAnsi="宋体" w:cs="宋体"/>
        </w:rPr>
        <w:fldChar w:fldCharType="separate"/>
      </w:r>
      <w:r>
        <w:rPr>
          <w:rFonts w:hint="eastAsia" w:ascii="宋体" w:hAnsi="宋体" w:cs="宋体"/>
          <w:szCs w:val="32"/>
          <w:lang w:val="en-US" w:eastAsia="zh-CN"/>
        </w:rPr>
        <w:t>八</w:t>
      </w:r>
      <w:r>
        <w:rPr>
          <w:rFonts w:hint="eastAsia" w:ascii="宋体" w:hAnsi="宋体" w:cs="宋体"/>
          <w:szCs w:val="32"/>
        </w:rPr>
        <w:t>、其他资料（如有）</w:t>
      </w:r>
      <w:r>
        <w:tab/>
      </w:r>
      <w:r>
        <w:fldChar w:fldCharType="begin"/>
      </w:r>
      <w:r>
        <w:instrText xml:space="preserve"> PAGEREF _Toc9958 \h </w:instrText>
      </w:r>
      <w:r>
        <w:fldChar w:fldCharType="separate"/>
      </w:r>
      <w:r>
        <w:t>57</w:t>
      </w:r>
      <w:r>
        <w:fldChar w:fldCharType="end"/>
      </w:r>
      <w:r>
        <w:rPr>
          <w:rFonts w:hint="eastAsia" w:ascii="宋体" w:hAnsi="宋体" w:cs="宋体"/>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6"/>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val="0"/>
          <w:sz w:val="32"/>
          <w:szCs w:val="32"/>
        </w:rPr>
      </w:pPr>
      <w:bookmarkStart w:id="3" w:name="_Toc3621"/>
      <w:bookmarkStart w:id="4" w:name="_Toc8308"/>
      <w:bookmarkStart w:id="5" w:name="_Toc13376"/>
      <w:r>
        <w:rPr>
          <w:rFonts w:hint="eastAsia" w:ascii="宋体" w:hAnsi="宋体" w:eastAsia="宋体" w:cs="宋体"/>
          <w:bCs w:val="0"/>
          <w:sz w:val="32"/>
          <w:szCs w:val="32"/>
          <w:lang w:eastAsia="zh-CN"/>
        </w:rPr>
        <w:t>第一章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谈判邀请公告</w:t>
      </w:r>
      <w:bookmarkEnd w:id="0"/>
      <w:bookmarkEnd w:id="1"/>
      <w:bookmarkEnd w:id="2"/>
      <w:bookmarkEnd w:id="3"/>
      <w:bookmarkEnd w:id="4"/>
      <w:bookmarkEnd w:id="5"/>
    </w:p>
    <w:p>
      <w:pPr>
        <w:keepNext w:val="0"/>
        <w:keepLines w:val="0"/>
        <w:pageBreakBefore w:val="0"/>
        <w:kinsoku/>
        <w:wordWrap/>
        <w:overflowPunct/>
        <w:topLinePunct w:val="0"/>
        <w:autoSpaceDE/>
        <w:autoSpaceDN/>
        <w:bidi w:val="0"/>
        <w:spacing w:line="360" w:lineRule="auto"/>
        <w:ind w:left="0" w:leftChars="0"/>
        <w:textAlignment w:val="auto"/>
      </w:pP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宋体" w:hAnsi="宋体" w:cs="宋体"/>
          <w:iCs/>
          <w:szCs w:val="21"/>
        </w:rPr>
      </w:pPr>
      <w:r>
        <w:rPr>
          <w:rFonts w:hint="eastAsia" w:ascii="宋体" w:hAnsi="宋体" w:eastAsia="宋体" w:cs="宋体"/>
          <w:kern w:val="2"/>
          <w:sz w:val="21"/>
          <w:szCs w:val="24"/>
          <w:u w:val="single"/>
          <w:lang w:val="en-US" w:eastAsia="zh-CN" w:bidi="ar-SA"/>
        </w:rPr>
        <w:t>长沙市轨道交通运营有限公司、长沙市轨道交通四号线建设发展有限公司</w:t>
      </w:r>
      <w:r>
        <w:rPr>
          <w:rStyle w:val="56"/>
          <w:rFonts w:hint="eastAsia"/>
          <w:color w:val="auto"/>
          <w:kern w:val="0"/>
          <w:u w:val="none"/>
          <w:shd w:val="clear" w:color="auto" w:fill="FFFFFF"/>
        </w:rPr>
        <w:t>对</w:t>
      </w:r>
      <w:r>
        <w:rPr>
          <w:rFonts w:hint="eastAsia" w:ascii="宋体" w:hAnsi="宋体" w:cs="宋体"/>
          <w:u w:val="single"/>
          <w:lang w:val="en-US" w:eastAsia="zh-CN"/>
        </w:rPr>
        <w:t>长沙市轨道交通2号线电客车首轮大修、4号线电客车首轮架修概算编制咨询服务项目</w:t>
      </w:r>
      <w:r>
        <w:rPr>
          <w:rStyle w:val="56"/>
          <w:rFonts w:hint="eastAsia"/>
          <w:color w:val="auto"/>
          <w:kern w:val="0"/>
          <w:u w:val="none"/>
          <w:shd w:val="clear" w:color="auto" w:fill="FFFFFF"/>
        </w:rPr>
        <w:t>进行自主竞争性谈判采购，现发布公告，邀请符合条件的单位参与谈判采购活动，本项目为不含税报价。</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项目名称：</w:t>
      </w:r>
      <w:r>
        <w:rPr>
          <w:rFonts w:hint="eastAsia" w:ascii="宋体" w:hAnsi="宋体" w:cs="宋体"/>
          <w:lang w:val="en-US" w:eastAsia="zh-CN"/>
        </w:rPr>
        <w:t>长沙市轨道交通2号线电客车首轮大修、4号线电客车首轮架修概算编制咨询服务项目</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项目编号：长轨运服采【202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Fonts w:ascii="宋体" w:hAnsi="宋体" w:cs="宋体"/>
        </w:rPr>
      </w:pPr>
      <w:r>
        <w:rPr>
          <w:rFonts w:hint="eastAsia" w:ascii="宋体" w:hAnsi="宋体" w:cs="宋体"/>
        </w:rPr>
        <w:t>最高限</w:t>
      </w:r>
      <w:r>
        <w:rPr>
          <w:rFonts w:hint="eastAsia" w:ascii="宋体" w:hAnsi="宋体" w:cs="宋体"/>
          <w:color w:val="auto"/>
        </w:rPr>
        <w:t>价：</w:t>
      </w:r>
      <w:r>
        <w:rPr>
          <w:rStyle w:val="56"/>
          <w:rFonts w:hint="eastAsia"/>
          <w:color w:val="auto"/>
          <w:kern w:val="0"/>
          <w:u w:val="none"/>
          <w:shd w:val="clear" w:color="auto" w:fill="FFFFFF"/>
          <w:lang w:val="en-US" w:eastAsia="zh-CN"/>
        </w:rPr>
        <w:t>208573.44</w:t>
      </w:r>
      <w:r>
        <w:rPr>
          <w:rFonts w:hint="eastAsia" w:ascii="宋体" w:hAnsi="宋体" w:cs="宋体"/>
          <w:color w:val="auto"/>
        </w:rPr>
        <w:t>元</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标段划分：共划分 1 个标段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服务期限：</w:t>
      </w:r>
      <w:r>
        <w:rPr>
          <w:rFonts w:hint="eastAsia" w:ascii="宋体" w:hAnsi="宋体" w:cs="宋体"/>
        </w:rPr>
        <w:t>本项目服</w:t>
      </w:r>
      <w:r>
        <w:rPr>
          <w:rFonts w:hint="eastAsia" w:ascii="宋体" w:hAnsi="宋体" w:eastAsia="宋体" w:cs="宋体"/>
          <w:color w:val="000000"/>
          <w:highlight w:val="none"/>
          <w:lang w:val="en-US" w:eastAsia="zh-CN"/>
        </w:rPr>
        <w:t>务期限为90个自然日（实际服务时间以采购单位发出的进场通知起算，总计90个自然日）</w:t>
      </w:r>
      <w:r>
        <w:rPr>
          <w:rStyle w:val="56"/>
          <w:rFonts w:hint="eastAsia"/>
          <w:color w:val="auto"/>
          <w:kern w:val="0"/>
          <w:u w:val="none"/>
          <w:shd w:val="clear" w:color="auto" w:fill="FFFFFF"/>
        </w:rPr>
        <w:t>。（具体详见用户需求书）</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采购范围：本项目主要</w:t>
      </w:r>
      <w:r>
        <w:rPr>
          <w:rFonts w:hint="eastAsia" w:ascii="宋体" w:hAnsi="宋体" w:cs="宋体"/>
          <w:lang w:val="en-US" w:eastAsia="zh-CN"/>
        </w:rPr>
        <w:t>为根据长沙市轨道交通2号线电客车首轮大修、4号线电客车首轮架修项目物资采购、委外服务及设备需求方案完成概算说明书的编制及出具概算报告，并征得长沙市交通运输局</w:t>
      </w:r>
      <w:r>
        <w:rPr>
          <w:rFonts w:hint="eastAsia" w:ascii="宋体" w:hAnsi="宋体" w:cs="宋体"/>
          <w:highlight w:val="none"/>
          <w:lang w:val="en-US" w:eastAsia="zh-CN"/>
        </w:rPr>
        <w:t>等政府相关职能部门的同</w:t>
      </w:r>
      <w:r>
        <w:rPr>
          <w:rFonts w:hint="eastAsia" w:ascii="宋体" w:hAnsi="宋体" w:cs="宋体"/>
          <w:lang w:val="en-US" w:eastAsia="zh-CN"/>
        </w:rPr>
        <w:t>意。</w:t>
      </w:r>
      <w:r>
        <w:rPr>
          <w:rStyle w:val="56"/>
          <w:rFonts w:hint="eastAsia"/>
          <w:color w:val="auto"/>
          <w:kern w:val="0"/>
          <w:u w:val="none"/>
          <w:shd w:val="clear" w:color="auto" w:fill="FFFFFF"/>
        </w:rPr>
        <w:t>（具体详见用户需求书）</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谈判单位须为具有独立法人资格、自主经营、独立核算的公司或事业单位，须提供加盖谈判单位公章的营业执照（事业单位法人证书）复印件。</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谈判单位须具有一项入围业绩，入围业绩是指在本项目谈判截止之日前36个月内须具有造价咨询业绩。不接受联合体业绩、港澳台或境外业绩。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highlight w:val="none"/>
          <w:u w:val="none"/>
          <w:shd w:val="clear" w:color="auto" w:fill="FFFFFF"/>
          <w:lang w:val="en-US" w:eastAsia="zh-CN"/>
        </w:rPr>
      </w:pPr>
      <w:r>
        <w:rPr>
          <w:rStyle w:val="56"/>
          <w:rFonts w:hint="eastAsia" w:ascii="Times New Roman" w:hAnsi="Times New Roman" w:eastAsia="宋体" w:cs="Times New Roman"/>
          <w:color w:val="auto"/>
          <w:kern w:val="0"/>
          <w:highlight w:val="none"/>
          <w:u w:val="none"/>
          <w:shd w:val="clear" w:color="auto" w:fill="FFFFFF"/>
          <w:lang w:val="en-US" w:eastAsia="zh-CN"/>
        </w:rPr>
        <w:t>业绩证明材料以同时提供的合同原件扫描件和可查验的增值税发票（开票金额不少于合同金额的10%）原件扫描件为准（均须加盖谈判单位公章），时间以合同中甲方签订时间为准。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default"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谈判单位拟投入本项目的现场服务人员须满足最低配备要求，详见《最低人员配备表》。</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本次采购不接受联合体。</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Style w:val="56"/>
          <w:rFonts w:ascii="Times New Roman" w:hAnsi="Times New Roman" w:cs="Times New Roman"/>
          <w:b/>
          <w:bCs/>
          <w:color w:val="auto"/>
          <w:sz w:val="21"/>
          <w:u w:val="none"/>
          <w:shd w:val="clear" w:color="auto" w:fill="FFFFFF"/>
        </w:rPr>
      </w:pPr>
      <w:r>
        <w:rPr>
          <w:rStyle w:val="56"/>
          <w:rFonts w:hint="eastAsia"/>
          <w:color w:val="auto"/>
          <w:kern w:val="0"/>
          <w:highlight w:val="none"/>
          <w:u w:val="none"/>
          <w:shd w:val="clear" w:color="auto" w:fill="FFFFFF"/>
        </w:rPr>
        <w:t>本项目评审办法采用：</w:t>
      </w:r>
      <w:r>
        <w:rPr>
          <w:rStyle w:val="56"/>
          <w:rFonts w:hint="eastAsia"/>
          <w:color w:val="auto"/>
          <w:kern w:val="0"/>
          <w:highlight w:val="none"/>
          <w:u w:val="none"/>
          <w:shd w:val="clear" w:color="auto" w:fill="FFFFFF"/>
        </w:rPr>
        <w:sym w:font="Wingdings 2" w:char="0052"/>
      </w:r>
      <w:r>
        <w:rPr>
          <w:rStyle w:val="56"/>
          <w:color w:val="auto"/>
          <w:kern w:val="0"/>
          <w:highlight w:val="none"/>
          <w:u w:val="none"/>
          <w:shd w:val="clear" w:color="auto" w:fill="FFFFFF"/>
        </w:rPr>
        <w:t xml:space="preserve"> </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A3"/>
      </w:r>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凡有意参加谈判的单位，自本公告发布之日起登录长沙市轨道交通集团有限公司官方网站（http://www.hncsmtr.com/）获取自主竞争性谈判文件。</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谈判文件的澄清与答疑</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u w:val="none"/>
          <w:shd w:val="clear" w:color="auto" w:fill="FFFFFF"/>
        </w:rPr>
        <w:t>谈判单位若对谈判文件有任何疑问，应于</w:t>
      </w:r>
      <w:r>
        <w:rPr>
          <w:rStyle w:val="56"/>
          <w:rFonts w:hint="eastAsia" w:ascii="Times New Roman" w:hAnsi="Times New Roman" w:cs="Times New Roman"/>
          <w:color w:val="auto"/>
          <w:sz w:val="21"/>
          <w:highlight w:val="none"/>
          <w:u w:val="none"/>
          <w:shd w:val="clear" w:color="auto" w:fill="FFFFFF"/>
        </w:rPr>
        <w:t>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03</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28</w:t>
      </w:r>
      <w:r>
        <w:rPr>
          <w:rStyle w:val="56"/>
          <w:rFonts w:hint="eastAsia" w:ascii="Times New Roman" w:hAnsi="Times New Roman" w:cs="Times New Roman"/>
          <w:color w:val="auto"/>
          <w:sz w:val="21"/>
          <w:highlight w:val="none"/>
          <w:u w:val="none"/>
          <w:shd w:val="clear" w:color="auto" w:fill="FFFFFF"/>
        </w:rPr>
        <w:t>日17：00</w:t>
      </w:r>
      <w:r>
        <w:rPr>
          <w:rStyle w:val="56"/>
          <w:rFonts w:hint="eastAsia" w:ascii="Times New Roman" w:hAnsi="Times New Roman" w:cs="Times New Roman"/>
          <w:color w:val="auto"/>
          <w:sz w:val="21"/>
          <w:u w:val="none"/>
          <w:shd w:val="clear" w:color="auto" w:fill="FFFFFF"/>
        </w:rPr>
        <w:t>时（含）前（节假日除外）以书面</w:t>
      </w:r>
      <w:r>
        <w:rPr>
          <w:rStyle w:val="56"/>
          <w:rFonts w:hint="eastAsia" w:ascii="Times New Roman" w:hAnsi="Times New Roman" w:cs="Times New Roman"/>
          <w:color w:val="auto"/>
          <w:sz w:val="21"/>
          <w:highlight w:val="none"/>
          <w:u w:val="none"/>
          <w:shd w:val="clear" w:color="auto" w:fill="FFFFFF"/>
        </w:rPr>
        <w:t>形式（经法定代表人签字或盖章，并加盖单位公章）递交至采购</w:t>
      </w:r>
      <w:r>
        <w:rPr>
          <w:rStyle w:val="56"/>
          <w:rFonts w:hint="eastAsia" w:ascii="Times New Roman" w:hAnsi="Times New Roman" w:cs="Times New Roman"/>
          <w:color w:val="auto"/>
          <w:sz w:val="21"/>
          <w:highlight w:val="none"/>
          <w:u w:val="none"/>
          <w:shd w:val="clear" w:color="auto" w:fill="FFFFFF"/>
          <w:lang w:eastAsia="zh-CN"/>
        </w:rPr>
        <w:t>单位</w:t>
      </w:r>
      <w:r>
        <w:rPr>
          <w:rStyle w:val="56"/>
          <w:rFonts w:hint="eastAsia" w:ascii="Times New Roman" w:hAnsi="Times New Roman" w:cs="Times New Roman"/>
          <w:color w:val="auto"/>
          <w:sz w:val="21"/>
          <w:highlight w:val="none"/>
          <w:u w:val="none"/>
          <w:shd w:val="clear" w:color="auto" w:fill="FFFFFF"/>
        </w:rPr>
        <w:t>。</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谈判保证金提交与退还</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jc w:val="both"/>
        <w:textAlignment w:val="auto"/>
        <w:rPr>
          <w:rStyle w:val="56"/>
          <w:rFonts w:ascii="Times New Roman" w:hAnsi="Times New Roman" w:cs="Times New Roman"/>
          <w:b/>
          <w:bCs/>
          <w:color w:val="auto"/>
          <w:sz w:val="21"/>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lang w:val="en-US" w:eastAsia="zh-CN"/>
        </w:rPr>
        <w:t>所有</w:t>
      </w:r>
      <w:r>
        <w:rPr>
          <w:rStyle w:val="56"/>
          <w:rFonts w:hint="eastAsia" w:ascii="Times New Roman" w:hAnsi="Times New Roman" w:cs="Times New Roman"/>
          <w:color w:val="auto"/>
          <w:sz w:val="21"/>
          <w:u w:val="none"/>
          <w:shd w:val="clear" w:color="auto" w:fill="FFFFFF"/>
        </w:rPr>
        <w:t>谈判单位须在城轨采购网（网址：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6"/>
          <w:rFonts w:hint="eastAsia" w:ascii="Times New Roman" w:hAnsi="Times New Roman" w:cs="Times New Roman"/>
          <w:color w:val="auto"/>
          <w:sz w:val="21"/>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u w:val="none"/>
          <w:shd w:val="clear" w:color="auto" w:fill="FFFFFF"/>
        </w:rPr>
        <w:fldChar w:fldCharType="end"/>
      </w:r>
      <w:r>
        <w:rPr>
          <w:rStyle w:val="56"/>
          <w:rFonts w:hint="eastAsia" w:ascii="Times New Roman" w:hAnsi="Times New Roman" w:cs="Times New Roman"/>
          <w:color w:val="auto"/>
          <w:sz w:val="21"/>
          <w:highlight w:val="none"/>
          <w:shd w:val="clear" w:color="auto" w:fill="FFFFFF"/>
        </w:rPr>
        <w:t>肆仟壹佰元整</w:t>
      </w:r>
      <w:r>
        <w:rPr>
          <w:rFonts w:hint="eastAsia"/>
          <w:color w:val="000000"/>
          <w:sz w:val="21"/>
          <w:szCs w:val="21"/>
          <w:highlight w:val="none"/>
          <w:shd w:val="clear" w:color="auto" w:fill="FFFFFF"/>
          <w:lang w:bidi="ar"/>
        </w:rPr>
        <w:t>（¥</w:t>
      </w:r>
      <w:r>
        <w:rPr>
          <w:rFonts w:hint="eastAsia"/>
          <w:color w:val="000000"/>
          <w:sz w:val="21"/>
          <w:szCs w:val="21"/>
          <w:highlight w:val="none"/>
          <w:u w:val="single"/>
          <w:shd w:val="clear" w:color="auto" w:fill="FFFFFF"/>
          <w:lang w:bidi="ar"/>
        </w:rPr>
        <w:t>4100.00</w:t>
      </w:r>
      <w:r>
        <w:rPr>
          <w:rFonts w:hint="eastAsia"/>
          <w:color w:val="000000"/>
          <w:sz w:val="21"/>
          <w:szCs w:val="21"/>
          <w:highlight w:val="none"/>
          <w:shd w:val="clear" w:color="auto" w:fill="FFFFFF"/>
          <w:lang w:bidi="ar"/>
        </w:rPr>
        <w:t>元）</w:t>
      </w:r>
      <w:r>
        <w:rPr>
          <w:rStyle w:val="56"/>
          <w:rFonts w:hint="eastAsia" w:ascii="Times New Roman" w:hAnsi="Times New Roman" w:cs="Times New Roman"/>
          <w:color w:val="auto"/>
          <w:sz w:val="21"/>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本次参与谈判单位的谈判保证金必须</w:t>
      </w:r>
      <w:r>
        <w:rPr>
          <w:rStyle w:val="56"/>
          <w:rFonts w:hint="eastAsia" w:ascii="Times New Roman" w:hAnsi="Times New Roman" w:cs="Times New Roman"/>
          <w:color w:val="auto"/>
          <w:sz w:val="21"/>
          <w:highlight w:val="none"/>
          <w:u w:val="none"/>
          <w:shd w:val="clear" w:color="auto" w:fill="FFFFFF"/>
        </w:rPr>
        <w:t>在20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03</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w:t>
      </w:r>
      <w:r>
        <w:rPr>
          <w:rStyle w:val="56"/>
          <w:rFonts w:hint="eastAsia" w:ascii="Times New Roman" w:hAnsi="Times New Roman" w:cs="Times New Roman"/>
          <w:color w:val="auto"/>
          <w:sz w:val="21"/>
          <w:u w:val="none"/>
          <w:shd w:val="clear" w:color="auto" w:fill="FFFFFF"/>
        </w:rPr>
        <w:t>(含)到达专用账户（以托管银行到账的日期为准），逾期或未提交谈判保证金的谈判单位，将无权限参加本次谈判。</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谈判单位在谈判截止时间前撤回已提交的响应文件的，将在收到供应商书面撤回通知后，退还已收取的谈判保证金。</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谈判单位提出撤回或撤销或放弃中选资格或对报价提出实质性修改；</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中选单位未能在规定期限内签订合同或不按报价结果签订合同；</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中选单位未能在规定期限内提交履约保证金；</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中选单位在合同订立过程中未能完全响应采购文件、清单、附件、合同要求以致合同无法订立的；</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经查实谈判单位报价资料弄虚作假的；</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串通参与谈判相关行为的。如不同谈判单位的谈判保证金从同一账户转出。</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响应文件递交的截止时间及谈判时间</w:t>
      </w:r>
      <w:r>
        <w:rPr>
          <w:rStyle w:val="56"/>
          <w:rFonts w:hint="eastAsia" w:ascii="Times New Roman" w:hAnsi="Times New Roman" w:cs="Times New Roman"/>
          <w:color w:val="auto"/>
          <w:sz w:val="21"/>
          <w:highlight w:val="none"/>
          <w:u w:val="none"/>
          <w:shd w:val="clear" w:color="auto" w:fill="FFFFFF"/>
        </w:rPr>
        <w:t>为20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03</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Style w:val="56"/>
          <w:rFonts w:hint="eastAsia" w:ascii="Times New Roman" w:hAnsi="Times New Roman" w:cs="Times New Roman"/>
          <w:color w:val="auto"/>
          <w:sz w:val="21"/>
          <w:u w:val="none"/>
          <w:shd w:val="clear" w:color="auto" w:fill="FFFFFF"/>
        </w:rPr>
        <w:t>，地点为长沙市劳动东路二段48号黄兴车辆段综合楼</w:t>
      </w:r>
      <w:r>
        <w:rPr>
          <w:rStyle w:val="56"/>
          <w:rFonts w:hint="eastAsia" w:ascii="Times New Roman" w:hAnsi="Times New Roman" w:cs="Times New Roman"/>
          <w:color w:val="auto"/>
          <w:sz w:val="21"/>
          <w:highlight w:val="none"/>
          <w:u w:val="none"/>
          <w:shd w:val="clear" w:color="auto" w:fill="FFFFFF"/>
          <w:lang w:val="en-US" w:eastAsia="zh-CN"/>
        </w:rPr>
        <w:t>9</w:t>
      </w:r>
      <w:r>
        <w:rPr>
          <w:rStyle w:val="56"/>
          <w:rFonts w:hint="eastAsia" w:ascii="Times New Roman" w:hAnsi="Times New Roman" w:cs="Times New Roman"/>
          <w:color w:val="auto"/>
          <w:sz w:val="21"/>
          <w:highlight w:val="none"/>
          <w:u w:val="none"/>
          <w:shd w:val="clear" w:color="auto" w:fill="FFFFFF"/>
        </w:rPr>
        <w:t>楼</w:t>
      </w:r>
      <w:r>
        <w:rPr>
          <w:rStyle w:val="56"/>
          <w:rFonts w:hint="eastAsia" w:ascii="Times New Roman" w:hAnsi="Times New Roman" w:cs="Times New Roman"/>
          <w:color w:val="auto"/>
          <w:sz w:val="21"/>
          <w:highlight w:val="none"/>
          <w:u w:val="none"/>
          <w:shd w:val="clear" w:color="auto" w:fill="FFFFFF"/>
          <w:lang w:val="en-US" w:eastAsia="zh-CN"/>
        </w:rPr>
        <w:t>910</w:t>
      </w:r>
      <w:r>
        <w:rPr>
          <w:rFonts w:hint="eastAsia" w:ascii="宋体" w:hAnsi="宋体" w:eastAsia="宋体" w:cs="宋体"/>
          <w:kern w:val="2"/>
          <w:sz w:val="21"/>
          <w:szCs w:val="21"/>
          <w:lang w:val="en-US" w:eastAsia="zh-CN" w:bidi="ar-SA"/>
        </w:rPr>
        <w:t>电子评标室</w:t>
      </w:r>
      <w:r>
        <w:rPr>
          <w:rStyle w:val="56"/>
          <w:rFonts w:hint="eastAsia" w:ascii="Times New Roman" w:hAnsi="Times New Roman" w:cs="Times New Roman"/>
          <w:color w:val="auto"/>
          <w:sz w:val="21"/>
          <w:highlight w:val="none"/>
          <w:u w:val="none"/>
          <w:shd w:val="clear" w:color="auto" w:fill="FFFFFF"/>
        </w:rPr>
        <w:t>。</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w:t>
      </w:r>
      <w:r>
        <w:rPr>
          <w:rStyle w:val="56"/>
          <w:rFonts w:hint="eastAsia" w:ascii="Times New Roman" w:hAnsi="Times New Roman" w:cs="Times New Roman"/>
          <w:color w:val="auto"/>
          <w:sz w:val="21"/>
          <w:highlight w:val="none"/>
          <w:u w:val="none"/>
          <w:shd w:val="clear" w:color="auto" w:fill="FFFFFF"/>
        </w:rPr>
        <w:t>采购单位将</w:t>
      </w:r>
      <w:r>
        <w:rPr>
          <w:rStyle w:val="56"/>
          <w:rFonts w:hint="eastAsia" w:ascii="Times New Roman" w:hAnsi="Times New Roman" w:cs="Times New Roman"/>
          <w:color w:val="auto"/>
          <w:sz w:val="21"/>
          <w:u w:val="none"/>
          <w:shd w:val="clear" w:color="auto" w:fill="FFFFFF"/>
        </w:rPr>
        <w:t>予以拒收。</w:t>
      </w:r>
    </w:p>
    <w:p>
      <w:pPr>
        <w:pStyle w:val="43"/>
        <w:keepNext w:val="0"/>
        <w:keepLines w:val="0"/>
        <w:pageBreakBefore w:val="0"/>
        <w:widowControl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中选原则</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w:t>
      </w:r>
      <w:r>
        <w:rPr>
          <w:rStyle w:val="56"/>
          <w:rFonts w:hint="eastAsia" w:ascii="Times New Roman" w:hAnsi="Times New Roman" w:cs="Times New Roman"/>
          <w:color w:val="auto"/>
          <w:sz w:val="21"/>
          <w:szCs w:val="21"/>
          <w:highlight w:val="none"/>
          <w:u w:val="none"/>
          <w:shd w:val="clear" w:color="auto" w:fill="FFFFFF"/>
        </w:rPr>
        <w:t>通运营有限公司服务类采购</w:t>
      </w:r>
      <w:r>
        <w:rPr>
          <w:rStyle w:val="56"/>
          <w:rFonts w:hint="eastAsia" w:ascii="Times New Roman" w:hAnsi="Times New Roman" w:cs="Times New Roman"/>
          <w:color w:val="auto"/>
          <w:sz w:val="21"/>
          <w:szCs w:val="21"/>
          <w:highlight w:val="none"/>
          <w:u w:val="none"/>
          <w:shd w:val="clear" w:color="auto" w:fill="FFFFFF"/>
          <w:lang w:eastAsia="zh-CN"/>
        </w:rPr>
        <w:t>项目</w:t>
      </w:r>
      <w:r>
        <w:rPr>
          <w:rStyle w:val="56"/>
          <w:rFonts w:hint="eastAsia" w:ascii="Times New Roman" w:hAnsi="Times New Roman" w:cs="Times New Roman"/>
          <w:color w:val="auto"/>
          <w:sz w:val="21"/>
          <w:szCs w:val="21"/>
          <w:highlight w:val="none"/>
          <w:u w:val="none"/>
          <w:shd w:val="clear" w:color="auto" w:fill="FFFFFF"/>
        </w:rPr>
        <w:t>管理办法(</w:t>
      </w:r>
      <w:r>
        <w:rPr>
          <w:rStyle w:val="56"/>
          <w:rFonts w:hint="eastAsia" w:ascii="Times New Roman" w:hAnsi="Times New Roman" w:cs="Times New Roman"/>
          <w:color w:val="auto"/>
          <w:sz w:val="21"/>
          <w:szCs w:val="21"/>
          <w:u w:val="none"/>
          <w:shd w:val="clear" w:color="auto" w:fill="FFFFFF"/>
        </w:rPr>
        <w:t>试行）》执行。</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hint="eastAsia" w:ascii="Times New Roman" w:hAnsi="Times New Roman" w:eastAsia="宋体" w:cs="Times New Roman"/>
          <w:color w:val="auto"/>
          <w:sz w:val="21"/>
          <w:u w:val="none"/>
          <w:shd w:val="clear" w:color="auto" w:fill="FFFFFF"/>
          <w:lang w:eastAsia="zh-CN"/>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rPr>
        <w:t>长沙市轨道交通运营有限公司</w:t>
      </w:r>
      <w:r>
        <w:rPr>
          <w:rStyle w:val="56"/>
          <w:rFonts w:hint="eastAsia" w:ascii="Times New Roman" w:hAnsi="Times New Roman" w:cs="Times New Roman"/>
          <w:color w:val="auto"/>
          <w:sz w:val="21"/>
          <w:u w:val="none"/>
          <w:shd w:val="clear" w:color="auto" w:fill="FFFFFF"/>
          <w:lang w:eastAsia="zh-CN"/>
        </w:rPr>
        <w:t>、</w:t>
      </w:r>
      <w:r>
        <w:rPr>
          <w:rFonts w:hint="eastAsia" w:ascii="宋体" w:hAnsi="宋体" w:eastAsia="宋体" w:cs="宋体"/>
          <w:kern w:val="2"/>
          <w:sz w:val="21"/>
          <w:szCs w:val="24"/>
          <w:highlight w:val="none"/>
          <w:u w:val="none"/>
          <w:lang w:val="en-US" w:eastAsia="zh-CN" w:bidi="ar-SA"/>
        </w:rPr>
        <w:t>长沙市轨道交通四号线建设发展有限公司</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湖南省</w:t>
      </w:r>
      <w:r>
        <w:rPr>
          <w:rStyle w:val="56"/>
          <w:rFonts w:ascii="Times New Roman" w:hAnsi="Times New Roman" w:cs="Times New Roman"/>
          <w:color w:val="auto"/>
          <w:sz w:val="21"/>
          <w:u w:val="none"/>
          <w:shd w:val="clear" w:color="auto" w:fill="FFFFFF"/>
        </w:rPr>
        <w:t>长沙市劳动东路二段48号黄兴车辆段</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rPr>
        <w:t>杨工</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rPr>
        <w:t>86852347</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jc w:val="right"/>
        <w:textAlignment w:val="auto"/>
        <w:rPr>
          <w:rFonts w:hint="eastAsia"/>
          <w:sz w:val="21"/>
          <w:szCs w:val="21"/>
          <w:highlight w:val="none"/>
        </w:rPr>
        <w:sectPr>
          <w:footerReference r:id="rId5" w:type="default"/>
          <w:pgSz w:w="11906" w:h="16838"/>
          <w:pgMar w:top="2098" w:right="1474" w:bottom="1984" w:left="1587" w:header="851" w:footer="992" w:gutter="0"/>
          <w:pgNumType w:fmt="decimal" w:start="1"/>
          <w:cols w:space="0" w:num="1"/>
          <w:docGrid w:type="lines" w:linePitch="319" w:charSpace="0"/>
        </w:sectPr>
      </w:pPr>
      <w:r>
        <w:rPr>
          <w:rFonts w:hint="eastAsia"/>
          <w:sz w:val="21"/>
          <w:szCs w:val="21"/>
          <w:highlight w:val="none"/>
        </w:rPr>
        <w:t>20</w:t>
      </w:r>
      <w:r>
        <w:rPr>
          <w:rFonts w:hint="eastAsia"/>
          <w:sz w:val="21"/>
          <w:szCs w:val="21"/>
          <w:highlight w:val="none"/>
          <w:lang w:val="en-US" w:eastAsia="zh-CN"/>
        </w:rPr>
        <w:t>23</w:t>
      </w:r>
      <w:r>
        <w:rPr>
          <w:rFonts w:hint="eastAsia"/>
          <w:sz w:val="21"/>
          <w:szCs w:val="21"/>
          <w:highlight w:val="none"/>
        </w:rPr>
        <w:t>年</w:t>
      </w:r>
      <w:r>
        <w:rPr>
          <w:rFonts w:hint="eastAsia"/>
          <w:sz w:val="21"/>
          <w:szCs w:val="21"/>
          <w:highlight w:val="none"/>
          <w:lang w:val="en-US" w:eastAsia="zh-CN"/>
        </w:rPr>
        <w:t>03</w:t>
      </w:r>
      <w:r>
        <w:rPr>
          <w:rFonts w:hint="eastAsia"/>
          <w:sz w:val="21"/>
          <w:szCs w:val="21"/>
          <w:highlight w:val="none"/>
        </w:rPr>
        <w:t>月</w:t>
      </w:r>
      <w:r>
        <w:rPr>
          <w:rFonts w:hint="eastAsia"/>
          <w:sz w:val="21"/>
          <w:szCs w:val="21"/>
          <w:highlight w:val="none"/>
          <w:lang w:val="en-US" w:eastAsia="zh-CN"/>
        </w:rPr>
        <w:t>20</w:t>
      </w:r>
      <w:r>
        <w:rPr>
          <w:rFonts w:hint="eastAsia"/>
          <w:sz w:val="21"/>
          <w:szCs w:val="21"/>
          <w:highlight w:val="none"/>
        </w:rPr>
        <w:t>日</w:t>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附表：现场服务人员最低配备要求表</w:t>
      </w:r>
    </w:p>
    <w:tbl>
      <w:tblPr>
        <w:tblStyle w:val="47"/>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760"/>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2" w:type="dxa"/>
            <w:gridSpan w:val="3"/>
            <w:shd w:val="clear" w:color="auto" w:fill="auto"/>
            <w:vAlign w:val="center"/>
          </w:tcPr>
          <w:p>
            <w:pPr>
              <w:pStyle w:val="16"/>
              <w:spacing w:line="360" w:lineRule="auto"/>
              <w:ind w:left="0" w:leftChars="0"/>
              <w:jc w:val="center"/>
              <w:rPr>
                <w:rFonts w:hint="eastAsia" w:ascii="宋体" w:hAnsi="宋体"/>
                <w:b/>
                <w:lang w:val="en-US" w:eastAsia="zh-CN"/>
              </w:rPr>
            </w:pPr>
            <w:r>
              <w:rPr>
                <w:rFonts w:hint="eastAsia" w:ascii="宋体" w:hAnsi="宋体" w:eastAsia="宋体" w:cs="仿宋_GB2312"/>
                <w:b/>
                <w:bCs/>
                <w:kern w:val="2"/>
                <w:sz w:val="24"/>
                <w:szCs w:val="21"/>
                <w:lang w:val="en-US" w:eastAsia="zh-CN" w:bidi="ar-SA"/>
              </w:rPr>
              <w:t>最低人员配备表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5" w:type="dxa"/>
            <w:shd w:val="clear" w:color="auto" w:fill="auto"/>
            <w:vAlign w:val="center"/>
          </w:tcPr>
          <w:p>
            <w:pPr>
              <w:pStyle w:val="16"/>
              <w:spacing w:line="360" w:lineRule="auto"/>
              <w:ind w:left="0" w:leftChars="0"/>
              <w:jc w:val="center"/>
              <w:rPr>
                <w:rFonts w:hint="default" w:ascii="宋体" w:hAnsi="宋体" w:eastAsia="宋体"/>
                <w:b/>
                <w:bCs/>
                <w:lang w:val="en-US" w:eastAsia="zh-CN"/>
              </w:rPr>
            </w:pPr>
            <w:r>
              <w:rPr>
                <w:rFonts w:hint="eastAsia" w:ascii="宋体" w:hAnsi="宋体" w:eastAsia="宋体" w:cs="仿宋_GB2312"/>
                <w:b/>
                <w:bCs/>
                <w:kern w:val="2"/>
                <w:sz w:val="24"/>
                <w:szCs w:val="21"/>
                <w:lang w:val="en-US" w:eastAsia="zh-CN" w:bidi="ar-SA"/>
              </w:rPr>
              <w:t>岗位名称</w:t>
            </w:r>
          </w:p>
        </w:tc>
        <w:tc>
          <w:tcPr>
            <w:tcW w:w="1760" w:type="dxa"/>
            <w:shd w:val="clear" w:color="auto" w:fill="auto"/>
            <w:vAlign w:val="center"/>
          </w:tcPr>
          <w:p>
            <w:pPr>
              <w:pStyle w:val="16"/>
              <w:spacing w:line="360" w:lineRule="auto"/>
              <w:ind w:left="0" w:leftChars="0"/>
              <w:jc w:val="center"/>
              <w:rPr>
                <w:rFonts w:hint="eastAsia" w:ascii="宋体" w:hAnsi="宋体"/>
                <w:b/>
                <w:bCs/>
                <w:lang w:val="en-US" w:eastAsia="zh-CN"/>
              </w:rPr>
            </w:pPr>
            <w:r>
              <w:rPr>
                <w:rFonts w:hint="eastAsia" w:ascii="宋体" w:hAnsi="宋体" w:eastAsia="宋体" w:cs="仿宋_GB2312"/>
                <w:b/>
                <w:bCs/>
                <w:kern w:val="2"/>
                <w:sz w:val="24"/>
                <w:szCs w:val="21"/>
                <w:lang w:val="en-US" w:eastAsia="zh-CN" w:bidi="ar-SA"/>
              </w:rPr>
              <w:t>最低配备数量</w:t>
            </w:r>
          </w:p>
        </w:tc>
        <w:tc>
          <w:tcPr>
            <w:tcW w:w="5617" w:type="dxa"/>
            <w:shd w:val="clear" w:color="auto" w:fill="auto"/>
            <w:vAlign w:val="center"/>
          </w:tcPr>
          <w:p>
            <w:pPr>
              <w:pStyle w:val="16"/>
              <w:spacing w:line="360" w:lineRule="auto"/>
              <w:ind w:left="0" w:leftChars="0"/>
              <w:jc w:val="center"/>
              <w:rPr>
                <w:rFonts w:hint="default" w:ascii="宋体" w:hAnsi="宋体" w:eastAsia="宋体"/>
                <w:b/>
                <w:lang w:val="en-US" w:eastAsia="zh-CN"/>
              </w:rPr>
            </w:pPr>
            <w:r>
              <w:rPr>
                <w:rFonts w:hint="eastAsia" w:ascii="宋体" w:hAnsi="宋体" w:eastAsia="宋体" w:cs="仿宋_GB2312"/>
                <w:b/>
                <w:bCs/>
                <w:kern w:val="2"/>
                <w:sz w:val="24"/>
                <w:szCs w:val="21"/>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35" w:type="dxa"/>
            <w:shd w:val="clear" w:color="auto" w:fill="auto"/>
            <w:noWrap/>
            <w:vAlign w:val="center"/>
          </w:tcPr>
          <w:p>
            <w:pPr>
              <w:widowControl/>
              <w:jc w:val="center"/>
              <w:textAlignment w:val="center"/>
              <w:rPr>
                <w:rFonts w:hint="eastAsia" w:eastAsia="宋体" w:cs="宋体" w:asciiTheme="minorEastAsia" w:hAnsiTheme="minorEastAsia"/>
                <w:color w:val="000000"/>
                <w:kern w:val="0"/>
                <w:lang w:eastAsia="zh-CN"/>
              </w:rPr>
            </w:pPr>
            <w:r>
              <w:rPr>
                <w:rFonts w:hint="eastAsia" w:ascii="宋体" w:hAnsi="宋体" w:eastAsia="宋体" w:cs="宋体"/>
                <w:sz w:val="21"/>
                <w:szCs w:val="21"/>
                <w:highlight w:val="none"/>
                <w:lang w:eastAsia="zh-CN"/>
              </w:rPr>
              <w:t>项目负责人</w:t>
            </w:r>
          </w:p>
        </w:tc>
        <w:tc>
          <w:tcPr>
            <w:tcW w:w="1760" w:type="dxa"/>
            <w:shd w:val="clear" w:color="auto" w:fill="auto"/>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1人</w:t>
            </w:r>
          </w:p>
        </w:tc>
        <w:tc>
          <w:tcPr>
            <w:tcW w:w="5617" w:type="dxa"/>
            <w:shd w:val="clear" w:color="auto" w:fill="auto"/>
            <w:vAlign w:val="center"/>
          </w:tcPr>
          <w:p>
            <w:pPr>
              <w:widowControl/>
              <w:jc w:val="left"/>
              <w:textAlignment w:val="center"/>
              <w:rPr>
                <w:rFonts w:hint="eastAsia" w:ascii="宋体" w:hAnsi="宋体" w:eastAsia="宋体" w:cs="宋体"/>
                <w:kern w:val="2"/>
                <w:sz w:val="21"/>
                <w:szCs w:val="21"/>
                <w:u w:val="none"/>
                <w:lang w:val="en-US" w:eastAsia="zh-CN" w:bidi="ar-SA"/>
              </w:rPr>
            </w:pPr>
            <w:r>
              <w:rPr>
                <w:rFonts w:hint="default" w:ascii="宋体" w:hAnsi="宋体" w:eastAsia="宋体" w:cs="宋体"/>
                <w:sz w:val="21"/>
                <w:szCs w:val="21"/>
                <w:highlight w:val="none"/>
                <w:lang w:val="en-US" w:eastAsia="zh-CN"/>
              </w:rPr>
              <w:t>拟任项目负责人</w:t>
            </w:r>
            <w:r>
              <w:rPr>
                <w:rFonts w:hint="eastAsia" w:ascii="宋体" w:hAnsi="宋体" w:eastAsia="宋体" w:cs="宋体"/>
                <w:sz w:val="21"/>
                <w:szCs w:val="21"/>
                <w:highlight w:val="none"/>
                <w:lang w:val="en-US" w:eastAsia="zh-CN"/>
              </w:rPr>
              <w:t>在本项目谈判截止之日前36个月内须具有至少1项类似项目业绩，持有注册咨询师或注册监理工程师或注册设备监理师执业证书，且证书合格、有效。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widowControl/>
              <w:jc w:val="center"/>
              <w:textAlignment w:val="center"/>
              <w:rPr>
                <w:rFonts w:cs="宋体" w:asciiTheme="minorEastAsia" w:hAnsiTheme="minorEastAsia" w:eastAsiaTheme="minorEastAsia"/>
                <w:color w:val="000000"/>
                <w:kern w:val="0"/>
              </w:rPr>
            </w:pPr>
            <w:r>
              <w:rPr>
                <w:rFonts w:hint="eastAsia" w:ascii="宋体" w:hAnsi="宋体" w:eastAsia="宋体" w:cs="宋体"/>
                <w:sz w:val="21"/>
                <w:szCs w:val="21"/>
                <w:highlight w:val="none"/>
                <w:lang w:eastAsia="zh-CN"/>
              </w:rPr>
              <w:t>专业人员</w:t>
            </w:r>
          </w:p>
        </w:tc>
        <w:tc>
          <w:tcPr>
            <w:tcW w:w="1760" w:type="dxa"/>
            <w:shd w:val="clear" w:color="auto" w:fill="auto"/>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人</w:t>
            </w:r>
          </w:p>
        </w:tc>
        <w:tc>
          <w:tcPr>
            <w:tcW w:w="5617" w:type="dxa"/>
            <w:shd w:val="clear" w:color="auto" w:fill="auto"/>
            <w:vAlign w:val="center"/>
          </w:tcPr>
          <w:p>
            <w:pPr>
              <w:widowControl/>
              <w:jc w:val="left"/>
              <w:textAlignment w:val="center"/>
              <w:rPr>
                <w:rFonts w:hint="eastAsia" w:ascii="宋体" w:hAnsi="宋体" w:eastAsia="宋体" w:cs="宋体"/>
                <w:kern w:val="2"/>
                <w:sz w:val="21"/>
                <w:szCs w:val="21"/>
                <w:u w:val="none"/>
                <w:lang w:val="en-US" w:eastAsia="zh-CN" w:bidi="ar-SA"/>
              </w:rPr>
            </w:pPr>
            <w:r>
              <w:rPr>
                <w:rFonts w:hint="eastAsia" w:ascii="宋体" w:hAnsi="宋体" w:cs="宋体"/>
                <w:sz w:val="21"/>
                <w:szCs w:val="21"/>
                <w:highlight w:val="none"/>
                <w:lang w:val="en-US" w:eastAsia="zh-CN"/>
              </w:rPr>
              <w:t>中级工程师（车辆方向）及以上</w:t>
            </w:r>
            <w:r>
              <w:rPr>
                <w:rFonts w:hint="eastAsia" w:ascii="宋体" w:hAnsi="宋体" w:eastAsia="宋体" w:cs="宋体"/>
                <w:sz w:val="21"/>
                <w:szCs w:val="21"/>
                <w:highlight w:val="none"/>
                <w:lang w:val="en-US" w:eastAsia="zh-CN"/>
              </w:rPr>
              <w:t>，且证书合格、有效</w:t>
            </w:r>
            <w:r>
              <w:rPr>
                <w:rFonts w:hint="eastAsia" w:ascii="宋体" w:hAnsi="宋体" w:cs="宋体"/>
                <w:sz w:val="21"/>
                <w:szCs w:val="21"/>
                <w:highlight w:val="none"/>
                <w:lang w:val="en-US" w:eastAsia="zh-CN"/>
              </w:rPr>
              <w:t>。</w:t>
            </w:r>
          </w:p>
        </w:tc>
      </w:tr>
    </w:tbl>
    <w:p>
      <w:pPr>
        <w:pStyle w:val="6"/>
        <w:keepNext w:val="0"/>
        <w:spacing w:after="240"/>
        <w:rPr>
          <w:rFonts w:hint="eastAsia" w:ascii="宋体" w:hAnsi="宋体" w:cs="宋体"/>
          <w:bCs w:val="0"/>
          <w:sz w:val="32"/>
          <w:szCs w:val="32"/>
        </w:rPr>
        <w:sectPr>
          <w:footerReference r:id="rId6" w:type="default"/>
          <w:pgSz w:w="11906" w:h="16838"/>
          <w:pgMar w:top="2098" w:right="1474" w:bottom="1984" w:left="1587" w:header="851" w:footer="992" w:gutter="0"/>
          <w:pgNumType w:fmt="decimal"/>
          <w:cols w:space="0" w:num="1"/>
          <w:docGrid w:type="lines" w:linePitch="319" w:charSpace="0"/>
        </w:sectPr>
      </w:pPr>
      <w:bookmarkStart w:id="6" w:name="_Toc5145"/>
      <w:bookmarkStart w:id="7" w:name="_Toc8914"/>
      <w:bookmarkStart w:id="8" w:name="_Toc6753"/>
      <w:bookmarkStart w:id="9" w:name="_Toc14891065"/>
      <w:bookmarkStart w:id="10" w:name="_Toc10483"/>
    </w:p>
    <w:p>
      <w:pPr>
        <w:pStyle w:val="6"/>
        <w:keepNext w:val="0"/>
        <w:spacing w:after="240"/>
        <w:rPr>
          <w:rFonts w:ascii="黑体" w:hAnsi="黑体" w:eastAsia="黑体"/>
          <w:bCs w:val="0"/>
          <w:sz w:val="32"/>
          <w:szCs w:val="32"/>
        </w:rPr>
      </w:pPr>
      <w:bookmarkStart w:id="11" w:name="_Toc13238"/>
      <w:r>
        <w:rPr>
          <w:rFonts w:hint="eastAsia" w:ascii="宋体" w:hAnsi="宋体" w:cs="宋体"/>
          <w:bCs w:val="0"/>
          <w:sz w:val="32"/>
          <w:szCs w:val="32"/>
        </w:rPr>
        <w:t>第二章  谈判须知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28089"/>
      <w:bookmarkStart w:id="13" w:name="_Toc9591"/>
      <w:bookmarkStart w:id="14" w:name="_Toc9168"/>
      <w:bookmarkStart w:id="15" w:name="_Toc6617"/>
      <w:bookmarkStart w:id="16" w:name="_Toc14891066"/>
      <w:bookmarkStart w:id="17" w:name="_Toc5430"/>
      <w:r>
        <w:rPr>
          <w:rFonts w:hint="eastAsia" w:ascii="宋体" w:hAnsi="宋体" w:cs="宋体"/>
          <w:sz w:val="32"/>
        </w:rPr>
        <w:t>谈判须知前附表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338"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338" w:type="dxa"/>
            <w:vAlign w:val="center"/>
          </w:tcPr>
          <w:p>
            <w:pPr>
              <w:adjustRightInd w:val="0"/>
              <w:snapToGrid w:val="0"/>
              <w:jc w:val="left"/>
              <w:rPr>
                <w:rFonts w:ascii="宋体" w:hAnsi="宋体" w:cs="宋体"/>
                <w:szCs w:val="21"/>
              </w:rPr>
            </w:pPr>
            <w:r>
              <w:rPr>
                <w:rFonts w:hint="eastAsia" w:ascii="宋体" w:hAnsi="宋体" w:cs="宋体"/>
                <w:lang w:val="en-US" w:eastAsia="zh-CN"/>
              </w:rPr>
              <w:t>长沙市轨道交通2号线电客车首轮大修、4号线电客车首轮架修概算编制咨询服务项目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采购单位</w:t>
            </w:r>
          </w:p>
        </w:tc>
        <w:tc>
          <w:tcPr>
            <w:tcW w:w="7338" w:type="dxa"/>
            <w:vAlign w:val="center"/>
          </w:tcPr>
          <w:p>
            <w:pPr>
              <w:adjustRightInd w:val="0"/>
              <w:snapToGrid w:val="0"/>
              <w:jc w:val="left"/>
              <w:rPr>
                <w:rFonts w:ascii="宋体" w:hAnsi="宋体" w:cs="宋体"/>
                <w:iCs/>
                <w:szCs w:val="21"/>
              </w:rPr>
            </w:pPr>
            <w:r>
              <w:rPr>
                <w:rFonts w:hint="eastAsia" w:ascii="宋体" w:hAnsi="宋体" w:cs="宋体"/>
                <w:lang w:val="en-US" w:eastAsia="zh-CN"/>
              </w:rPr>
              <w:t>长沙市轨道交通运营有限公司、长沙市轨道交通四号线建设发展有限公司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FF0000"/>
                <w:szCs w:val="21"/>
                <w:highlight w:val="none"/>
              </w:rPr>
            </w:pPr>
            <w:r>
              <w:rPr>
                <w:rFonts w:hint="eastAsia" w:ascii="宋体" w:hAnsi="宋体" w:cs="宋体"/>
                <w:b/>
                <w:szCs w:val="21"/>
                <w:highlight w:val="none"/>
              </w:rPr>
              <w:t>最高限价</w:t>
            </w:r>
          </w:p>
        </w:tc>
        <w:tc>
          <w:tcPr>
            <w:tcW w:w="7338" w:type="dxa"/>
            <w:vAlign w:val="center"/>
          </w:tcPr>
          <w:p>
            <w:pPr>
              <w:adjustRightInd w:val="0"/>
              <w:snapToGrid w:val="0"/>
              <w:jc w:val="left"/>
              <w:rPr>
                <w:rFonts w:ascii="宋体" w:hAnsi="宋体" w:cs="宋体"/>
                <w:iCs/>
                <w:color w:val="FF0000"/>
                <w:szCs w:val="21"/>
              </w:rPr>
            </w:pPr>
            <w:r>
              <w:rPr>
                <w:rFonts w:hint="eastAsia" w:ascii="宋体" w:hAnsi="宋体" w:cs="宋体"/>
                <w:szCs w:val="21"/>
                <w:lang w:val="en-US" w:eastAsia="zh-CN"/>
              </w:rPr>
              <w:t>208573.44</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338" w:type="dxa"/>
            <w:vAlign w:val="center"/>
          </w:tcPr>
          <w:p>
            <w:pPr>
              <w:adjustRightInd w:val="0"/>
              <w:snapToGrid w:val="0"/>
              <w:jc w:val="left"/>
              <w:rPr>
                <w:rFonts w:ascii="宋体" w:hAnsi="宋体" w:cs="宋体"/>
                <w:iCs/>
                <w:color w:val="FF0000"/>
                <w:szCs w:val="21"/>
              </w:rPr>
            </w:pPr>
            <w:r>
              <w:rPr>
                <w:rStyle w:val="56"/>
                <w:rFonts w:hint="eastAsia"/>
                <w:color w:val="auto"/>
                <w:kern w:val="0"/>
                <w:u w:val="none"/>
                <w:shd w:val="clear" w:color="auto" w:fill="FFFFFF"/>
              </w:rPr>
              <w:sym w:font="Wingdings 2" w:char="0052"/>
            </w:r>
            <w:r>
              <w:rPr>
                <w:rStyle w:val="56"/>
                <w:rFonts w:hint="eastAsia"/>
                <w:color w:val="auto"/>
                <w:kern w:val="0"/>
                <w:u w:val="none"/>
                <w:shd w:val="clear" w:color="auto" w:fill="FFFFFF"/>
              </w:rPr>
              <w:t xml:space="preserve">经符合性审查合格后的最低价法   </w:t>
            </w:r>
            <w:r>
              <w:rPr>
                <w:rStyle w:val="56"/>
                <w:rFonts w:hint="eastAsia"/>
                <w:color w:val="auto"/>
                <w:kern w:val="0"/>
                <w:u w:val="none"/>
                <w:shd w:val="clear" w:color="auto" w:fill="FFFFFF"/>
              </w:rPr>
              <w:sym w:font="Wingdings 2" w:char="00A3"/>
            </w:r>
            <w:r>
              <w:rPr>
                <w:rStyle w:val="56"/>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338" w:type="dxa"/>
            <w:vAlign w:val="center"/>
          </w:tcPr>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1.谈判单位须为具有独立法人资格、自主经营、独立核算的公司或事业单位，须提供加盖谈判单位公章的营业执照（事业单位法人证书）复印件。</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2.谈判单位须具有一项入围业绩，入围业绩是指在本项目谈判截止之日前36个月内须具有造价咨询业绩。不接受联合体业绩、港澳台或境外业绩。</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业绩证明材料以同时提供的合同原件扫描件和可查验的增值税发票（开票金额不少于合同金额的10%）原件扫描件为准（均须加盖谈判单位公章），时间以合同中甲方签订时间为准。</w:t>
            </w:r>
          </w:p>
          <w:p>
            <w:pPr>
              <w:spacing w:line="360" w:lineRule="auto"/>
              <w:jc w:val="left"/>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3.谈判单位拟投入本项目的现场服务人员须满足最低配备要求，详见《最低人员配备表》。</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4.本次采购不接受联合体。</w:t>
            </w:r>
          </w:p>
          <w:p>
            <w:pPr>
              <w:spacing w:line="360" w:lineRule="auto"/>
              <w:rPr>
                <w:rFonts w:ascii="宋体" w:hAnsi="宋体" w:cs="宋体"/>
                <w:color w:val="000000"/>
                <w:szCs w:val="21"/>
              </w:rPr>
            </w:pPr>
            <w:r>
              <w:rPr>
                <w:rFonts w:hint="eastAsia" w:ascii="宋体" w:hAnsi="宋体" w:cs="宋体"/>
                <w:color w:val="000000"/>
                <w:highlight w:val="none"/>
                <w:lang w:val="en-US" w:eastAsia="zh-CN"/>
              </w:rPr>
              <w:t>5.被长沙市轨道交通集团有限公司或长沙市轨道交通运营有限公司函告禁止在一定期限内参与投标的单位按函告内容执行。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338" w:type="dxa"/>
            <w:vAlign w:val="center"/>
          </w:tcPr>
          <w:p>
            <w:pPr>
              <w:pStyle w:val="27"/>
              <w:adjustRightInd w:val="0"/>
              <w:snapToGrid w:val="0"/>
              <w:rPr>
                <w:rFonts w:hAnsi="宋体" w:cs="宋体"/>
                <w:color w:val="000000"/>
              </w:rPr>
            </w:pPr>
            <w:r>
              <w:rPr>
                <w:rStyle w:val="56"/>
                <w:rFonts w:hint="eastAsia" w:ascii="Times New Roman" w:hAnsi="Times New Roman" w:cs="Times New Roman"/>
                <w:color w:val="auto"/>
                <w:sz w:val="21"/>
                <w:highlight w:val="none"/>
                <w:u w:val="none"/>
                <w:shd w:val="clear" w:color="auto" w:fill="FFFFFF"/>
              </w:rPr>
              <w:t>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03</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28</w:t>
            </w:r>
            <w:r>
              <w:rPr>
                <w:rStyle w:val="56"/>
                <w:rFonts w:hint="eastAsia" w:ascii="Times New Roman" w:hAnsi="Times New Roman" w:cs="Times New Roman"/>
                <w:color w:val="auto"/>
                <w:sz w:val="21"/>
                <w:highlight w:val="none"/>
                <w:u w:val="none"/>
                <w:shd w:val="clear" w:color="auto" w:fill="FFFFFF"/>
              </w:rPr>
              <w:t>日</w:t>
            </w:r>
            <w:r>
              <w:rPr>
                <w:rFonts w:hint="eastAsia" w:hAnsi="宋体" w:cs="宋体"/>
                <w:highlight w:val="none"/>
                <w:lang w:val="en-US" w:eastAsia="zh-CN"/>
              </w:rPr>
              <w:t>17</w:t>
            </w:r>
            <w:r>
              <w:rPr>
                <w:rFonts w:hint="eastAsia" w:hAnsi="宋体" w:cs="宋体"/>
                <w:highlight w:val="none"/>
              </w:rPr>
              <w:t>时</w:t>
            </w:r>
            <w:r>
              <w:rPr>
                <w:rFonts w:hint="eastAsia" w:hAnsi="宋体" w:cs="宋体"/>
                <w:highlight w:val="none"/>
                <w:lang w:val="en-US" w:eastAsia="zh-CN"/>
              </w:rPr>
              <w:t>00</w:t>
            </w:r>
            <w:r>
              <w:rPr>
                <w:rFonts w:hint="eastAsia" w:hAnsi="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338" w:type="dxa"/>
            <w:vAlign w:val="center"/>
          </w:tcPr>
          <w:p>
            <w:pPr>
              <w:pStyle w:val="27"/>
              <w:adjustRightInd w:val="0"/>
              <w:snapToGrid w:val="0"/>
              <w:rPr>
                <w:rFonts w:hAnsi="宋体" w:cs="宋体"/>
                <w:iCs/>
                <w:color w:val="FF0000"/>
              </w:rPr>
            </w:pPr>
            <w:r>
              <w:rPr>
                <w:rFonts w:hint="eastAsia" w:ascii="宋体" w:hAnsi="宋体" w:eastAsia="宋体" w:cs="宋体"/>
                <w:kern w:val="2"/>
                <w:sz w:val="21"/>
                <w:szCs w:val="21"/>
                <w:lang w:val="en-US" w:eastAsia="zh-CN" w:bidi="ar-SA"/>
              </w:rPr>
              <w:t>谈判答疑文件应以书面形式递交至长沙市劳动东路二段48号黄兴车辆段综合楼9楼910电子评标室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截止及谈判时间</w:t>
            </w:r>
          </w:p>
        </w:tc>
        <w:tc>
          <w:tcPr>
            <w:tcW w:w="7338" w:type="dxa"/>
            <w:vAlign w:val="center"/>
          </w:tcPr>
          <w:p>
            <w:pPr>
              <w:adjustRightInd w:val="0"/>
              <w:snapToGrid w:val="0"/>
              <w:jc w:val="left"/>
              <w:rPr>
                <w:rFonts w:ascii="宋体" w:hAnsi="宋体" w:cs="宋体"/>
                <w:szCs w:val="21"/>
              </w:rPr>
            </w:pPr>
            <w:r>
              <w:rPr>
                <w:rStyle w:val="56"/>
                <w:rFonts w:hint="eastAsia" w:ascii="Times New Roman" w:hAnsi="Times New Roman" w:cs="Times New Roman"/>
                <w:color w:val="auto"/>
                <w:sz w:val="21"/>
                <w:highlight w:val="none"/>
                <w:u w:val="none"/>
                <w:shd w:val="clear" w:color="auto" w:fill="FFFFFF"/>
              </w:rPr>
              <w:t>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w:t>
            </w:r>
            <w:r>
              <w:rPr>
                <w:rStyle w:val="56"/>
                <w:rFonts w:hint="eastAsia" w:cs="Times New Roman"/>
                <w:color w:val="auto"/>
                <w:sz w:val="21"/>
                <w:highlight w:val="none"/>
                <w:u w:val="none"/>
                <w:shd w:val="clear" w:color="auto" w:fill="FFFFFF"/>
                <w:lang w:val="en-US" w:eastAsia="zh-CN"/>
              </w:rPr>
              <w:t>4</w:t>
            </w:r>
            <w:r>
              <w:rPr>
                <w:rStyle w:val="56"/>
                <w:rFonts w:hint="eastAsia" w:ascii="Times New Roman" w:hAnsi="Times New Roman" w:cs="Times New Roman"/>
                <w:color w:val="auto"/>
                <w:sz w:val="21"/>
                <w:highlight w:val="none"/>
                <w:u w:val="none"/>
                <w:shd w:val="clear" w:color="auto" w:fill="FFFFFF"/>
              </w:rPr>
              <w:t>月</w:t>
            </w:r>
            <w:r>
              <w:rPr>
                <w:rStyle w:val="56"/>
                <w:rFonts w:hint="eastAsia" w:cs="Times New Roman"/>
                <w:color w:val="auto"/>
                <w:sz w:val="21"/>
                <w:highlight w:val="none"/>
                <w:u w:val="none"/>
                <w:shd w:val="clear" w:color="auto" w:fill="FFFFFF"/>
                <w:lang w:val="en-US" w:eastAsia="zh-CN"/>
              </w:rPr>
              <w:t>03</w:t>
            </w:r>
            <w:bookmarkStart w:id="145" w:name="_GoBack"/>
            <w:bookmarkEnd w:id="145"/>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Fonts w:hint="eastAsia" w:ascii="宋体" w:hAnsi="宋体" w:cs="宋体"/>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及谈判地点</w:t>
            </w:r>
          </w:p>
        </w:tc>
        <w:tc>
          <w:tcPr>
            <w:tcW w:w="7338" w:type="dxa"/>
            <w:vAlign w:val="center"/>
          </w:tcPr>
          <w:p>
            <w:pPr>
              <w:adjustRightInd w:val="0"/>
              <w:snapToGrid w:val="0"/>
              <w:jc w:val="left"/>
              <w:rPr>
                <w:rFonts w:ascii="宋体" w:hAnsi="宋体" w:cs="宋体"/>
                <w:szCs w:val="21"/>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谈判现场验证</w:t>
            </w:r>
          </w:p>
          <w:p>
            <w:pPr>
              <w:adjustRightInd w:val="0"/>
              <w:snapToGrid w:val="0"/>
              <w:jc w:val="center"/>
              <w:rPr>
                <w:rFonts w:ascii="宋体" w:hAnsi="宋体" w:cs="宋体"/>
                <w:b/>
                <w:szCs w:val="21"/>
                <w:highlight w:val="none"/>
              </w:rPr>
            </w:pPr>
            <w:r>
              <w:rPr>
                <w:rFonts w:hint="eastAsia" w:ascii="宋体" w:hAnsi="宋体" w:cs="宋体"/>
                <w:b/>
                <w:szCs w:val="21"/>
                <w:highlight w:val="none"/>
              </w:rPr>
              <w:t>须提交的资料</w:t>
            </w:r>
          </w:p>
        </w:tc>
        <w:tc>
          <w:tcPr>
            <w:tcW w:w="733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响应文件有效期</w:t>
            </w:r>
          </w:p>
        </w:tc>
        <w:tc>
          <w:tcPr>
            <w:tcW w:w="7338" w:type="dxa"/>
            <w:vAlign w:val="center"/>
          </w:tcPr>
          <w:p>
            <w:pPr>
              <w:adjustRightInd w:val="0"/>
              <w:snapToGrid w:val="0"/>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2"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338"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5"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338" w:type="dxa"/>
            <w:vAlign w:val="center"/>
          </w:tcPr>
          <w:p>
            <w:pPr>
              <w:adjustRightInd w:val="0"/>
              <w:snapToGrid w:val="0"/>
              <w:spacing w:line="360" w:lineRule="auto"/>
              <w:jc w:val="left"/>
              <w:rPr>
                <w:rFonts w:ascii="宋体" w:hAnsi="宋体" w:cs="宋体"/>
                <w:szCs w:val="21"/>
                <w:highlight w:val="lightGray"/>
              </w:rPr>
            </w:pPr>
            <w:r>
              <w:rPr>
                <w:rFonts w:hint="eastAsia" w:ascii="宋体" w:hAnsi="宋体" w:eastAsia="宋体" w:cs="宋体"/>
                <w:kern w:val="2"/>
                <w:sz w:val="21"/>
                <w:szCs w:val="21"/>
                <w:lang w:val="en-US" w:eastAsia="zh-CN" w:bidi="ar-SA"/>
              </w:rPr>
              <w:t>合同价格形式：总价合同（除税率调整外，合同总价（即中标总价/中选总价/成交总价）在合同执行过程中固定不变，不随政府政策（长沙市规定的最低工资标准变化等）及市场物价上涨或回落等因素调整）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34"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338" w:type="dxa"/>
            <w:vAlign w:val="center"/>
          </w:tcPr>
          <w:p>
            <w:pPr>
              <w:adjustRightInd w:val="0"/>
              <w:snapToGrid w:val="0"/>
              <w:spacing w:line="360" w:lineRule="auto"/>
              <w:jc w:val="left"/>
              <w:rPr>
                <w:rFonts w:ascii="宋体" w:hAnsi="宋体" w:cs="宋体"/>
                <w:szCs w:val="21"/>
                <w:highlight w:val="lightGray"/>
              </w:rPr>
            </w:pPr>
            <w:r>
              <w:rPr>
                <w:rFonts w:hint="eastAsia" w:ascii="宋体" w:hAnsi="宋体" w:eastAsia="宋体" w:cs="宋体"/>
                <w:kern w:val="2"/>
                <w:sz w:val="21"/>
                <w:szCs w:val="21"/>
                <w:lang w:val="en-US" w:eastAsia="zh-CN" w:bidi="ar-SA"/>
              </w:rPr>
              <w:t>一次支付：咨询工作成果通过相关职能部门批复且本项目履约验收合格后，支付至酬金的100%。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338"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338"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szCs w:val="21"/>
              </w:rPr>
            </w:pPr>
            <w:r>
              <w:rPr>
                <w:rFonts w:hint="eastAsia" w:ascii="宋体" w:hAnsi="宋体" w:cs="宋体"/>
                <w:b/>
                <w:bCs/>
                <w:szCs w:val="21"/>
              </w:rPr>
              <w:t>自主竞争性谈判</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338"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338" w:type="dxa"/>
            <w:vAlign w:val="center"/>
          </w:tcPr>
          <w:p>
            <w:pPr>
              <w:adjustRightInd w:val="0"/>
              <w:snapToGrid w:val="0"/>
              <w:rPr>
                <w:rFonts w:ascii="宋体" w:hAnsi="宋体" w:cs="宋体"/>
                <w:szCs w:val="21"/>
              </w:rPr>
            </w:pPr>
            <w:r>
              <w:rPr>
                <w:rFonts w:hint="eastAsia" w:ascii="宋体" w:hAnsi="宋体" w:cs="宋体"/>
                <w:szCs w:val="21"/>
              </w:rPr>
              <w:t>/</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hAnsi="黑体" w:eastAsia="黑体"/>
          <w:sz w:val="30"/>
          <w:szCs w:val="30"/>
        </w:rPr>
      </w:pPr>
      <w:bookmarkStart w:id="18" w:name="_Toc14891067"/>
    </w:p>
    <w:p>
      <w:pPr>
        <w:widowControl/>
        <w:jc w:val="left"/>
      </w:pPr>
      <w:r>
        <w:br w:type="page"/>
      </w:r>
    </w:p>
    <w:p>
      <w:pPr>
        <w:pStyle w:val="7"/>
        <w:keepNext w:val="0"/>
        <w:keepLines w:val="0"/>
        <w:pageBreakBefore w:val="0"/>
        <w:widowControl w:val="0"/>
        <w:kinsoku/>
        <w:wordWrap/>
        <w:overflowPunct/>
        <w:topLinePunct w:val="0"/>
        <w:autoSpaceDE/>
        <w:autoSpaceDN/>
        <w:bidi w:val="0"/>
        <w:jc w:val="center"/>
        <w:textAlignment w:val="auto"/>
        <w:rPr>
          <w:rFonts w:ascii="宋体" w:hAnsi="宋体" w:cs="宋体"/>
          <w:sz w:val="32"/>
        </w:rPr>
      </w:pPr>
      <w:bookmarkStart w:id="19" w:name="_Toc17298"/>
      <w:bookmarkStart w:id="20" w:name="_Toc31558"/>
      <w:bookmarkStart w:id="21" w:name="_Toc30640"/>
      <w:bookmarkStart w:id="22" w:name="_Toc16939"/>
      <w:bookmarkStart w:id="23" w:name="_Toc26157"/>
      <w:bookmarkStart w:id="24" w:name="_Hlk71364110"/>
      <w:r>
        <w:rPr>
          <w:rFonts w:hint="eastAsia" w:ascii="宋体" w:hAnsi="宋体" w:cs="宋体"/>
          <w:sz w:val="32"/>
        </w:rPr>
        <w:t>谈判须知正文</w:t>
      </w:r>
      <w:bookmarkEnd w:id="18"/>
      <w:bookmarkEnd w:id="19"/>
      <w:bookmarkEnd w:id="20"/>
      <w:bookmarkEnd w:id="21"/>
      <w:bookmarkEnd w:id="22"/>
      <w:bookmarkEnd w:id="23"/>
    </w:p>
    <w:bookmarkEnd w:id="24"/>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25" w:name="_Toc11440"/>
      <w:bookmarkStart w:id="26" w:name="_Toc14891068"/>
      <w:bookmarkStart w:id="27" w:name="_Toc2826"/>
      <w:r>
        <w:rPr>
          <w:rFonts w:hint="eastAsia" w:ascii="宋体" w:hAnsi="宋体" w:cs="宋体"/>
          <w:sz w:val="21"/>
          <w:szCs w:val="21"/>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3.2“谈判单位”是指响应本谈判文件要求、参加谈判的法人组织。</w:t>
      </w:r>
      <w:r>
        <w:rPr>
          <w:rFonts w:hint="eastAsia" w:ascii="宋体" w:hAnsi="宋体"/>
          <w:szCs w:val="21"/>
        </w:rPr>
        <w:t>参与本项目的谈判单位</w:t>
      </w:r>
      <w:r>
        <w:rPr>
          <w:rFonts w:hint="eastAsia" w:hAnsi="宋体"/>
        </w:rPr>
        <w:t>应按</w:t>
      </w:r>
      <w:r>
        <w:rPr>
          <w:rFonts w:hint="eastAsia" w:hAnsi="宋体"/>
          <w:b/>
        </w:rPr>
        <w:t>前附表</w:t>
      </w:r>
      <w:r>
        <w:rPr>
          <w:rFonts w:hint="eastAsia" w:hAnsi="宋体"/>
        </w:rPr>
        <w:t>规定的要求获取谈判文件。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w:t>
      </w:r>
      <w:r>
        <w:rPr>
          <w:rFonts w:hint="eastAsia" w:hAnsi="宋体" w:cs="宋体"/>
          <w:sz w:val="21"/>
          <w:szCs w:val="21"/>
          <w:highlight w:val="none"/>
        </w:rPr>
        <w:t>与采购单位存</w:t>
      </w:r>
      <w:r>
        <w:rPr>
          <w:rFonts w:hint="eastAsia" w:hAnsi="宋体" w:cs="宋体"/>
          <w:sz w:val="21"/>
          <w:szCs w:val="21"/>
        </w:rPr>
        <w:t>在利害关系且可能影响采购公正性；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（3）与本采购项目的其他谈判单位存在控股、管理关系；</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（4）被责令停产停业、暂扣或者吊销许可证、暂扣或者吊销执照；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（5）进入破产、清算、注销程序，或存在其他可能丧失履约能力的情形；</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（8）不同谈判单位的谈判保证金从同一账户转出的情形。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bCs/>
        </w:rPr>
      </w:pPr>
      <w:r>
        <w:rPr>
          <w:rFonts w:hint="eastAsia" w:hAnsi="宋体" w:cs="宋体"/>
          <w:b/>
        </w:rPr>
        <w:t>6．</w:t>
      </w:r>
      <w:r>
        <w:rPr>
          <w:rFonts w:hint="eastAsia" w:hAnsi="宋体"/>
          <w:b/>
          <w:bCs/>
        </w:rPr>
        <w:t>谈判现场验证资料</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28" w:name="_Toc303"/>
      <w:bookmarkStart w:id="29" w:name="_Toc14891069"/>
      <w:bookmarkStart w:id="30" w:name="_Toc7066"/>
      <w:r>
        <w:rPr>
          <w:rFonts w:hint="eastAsia" w:ascii="宋体" w:hAnsi="宋体" w:cs="宋体"/>
          <w:sz w:val="21"/>
          <w:szCs w:val="21"/>
        </w:rPr>
        <w:t>二、谈判文件</w:t>
      </w:r>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7．谈判文件的组成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7.1谈判文件由下列文件组成：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第一章 谈判邀请公告</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第二章 谈判须知</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第三章 评审办法及标准</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第四章 用户需求书（另册）</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highlight w:val="none"/>
        </w:rPr>
      </w:pPr>
      <w:r>
        <w:rPr>
          <w:rFonts w:hint="eastAsia" w:hAnsi="宋体" w:cs="宋体"/>
          <w:highlight w:val="none"/>
        </w:rPr>
        <w:t xml:space="preserve">第五章 </w:t>
      </w:r>
      <w:r>
        <w:rPr>
          <w:rFonts w:hint="eastAsia" w:hAnsi="宋体" w:cs="宋体"/>
        </w:rPr>
        <w:t>谈判最高限价</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第六章 合同格式条款</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第七章 响应文件组成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highlight w:val="none"/>
        </w:rPr>
        <w:t>向采购</w:t>
      </w:r>
      <w:r>
        <w:rPr>
          <w:rFonts w:hint="eastAsia" w:ascii="宋体" w:hAnsi="宋体" w:cs="宋体"/>
          <w:iCs/>
          <w:szCs w:val="21"/>
          <w:highlight w:val="none"/>
          <w:lang w:eastAsia="zh-CN"/>
        </w:rPr>
        <w:t>单位</w:t>
      </w:r>
      <w:r>
        <w:rPr>
          <w:rFonts w:hint="eastAsia" w:ascii="宋体" w:hAnsi="宋体" w:cs="宋体"/>
          <w:iCs/>
          <w:szCs w:val="21"/>
          <w:highlight w:val="none"/>
        </w:rPr>
        <w:t>提</w:t>
      </w:r>
      <w:r>
        <w:rPr>
          <w:rFonts w:hint="eastAsia" w:ascii="宋体" w:hAnsi="宋体" w:cs="宋体"/>
          <w:iCs/>
          <w:szCs w:val="21"/>
        </w:rPr>
        <w:t>出，</w:t>
      </w:r>
      <w:r>
        <w:rPr>
          <w:rFonts w:hint="eastAsia" w:ascii="宋体" w:hAnsi="宋体" w:cs="宋体"/>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iCs/>
          <w:szCs w:val="21"/>
        </w:rPr>
      </w:pPr>
      <w:r>
        <w:rPr>
          <w:rFonts w:hint="eastAsia" w:ascii="宋体" w:hAnsi="宋体" w:cs="宋体"/>
          <w:iCs/>
          <w:szCs w:val="21"/>
        </w:rPr>
        <w:t>8.2.在谈判截止时间前，采购单位可主动地或在解答谈判单位提出的问题时对谈判文件进行澄清或修改。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w:t>
      </w:r>
      <w:r>
        <w:rPr>
          <w:rFonts w:hint="eastAsia" w:ascii="宋体" w:hAnsi="宋体" w:cs="宋体"/>
          <w:kern w:val="0"/>
          <w:szCs w:val="21"/>
          <w:highlight w:val="none"/>
        </w:rPr>
        <w:t>采购单位应</w:t>
      </w:r>
      <w:r>
        <w:rPr>
          <w:rFonts w:hint="eastAsia" w:ascii="宋体" w:hAnsi="宋体" w:cs="宋体"/>
          <w:kern w:val="0"/>
          <w:szCs w:val="21"/>
        </w:rPr>
        <w:t>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9.1谈判单位递交响应文件截止时间、谈判会议时间及地点见</w:t>
      </w:r>
      <w:r>
        <w:rPr>
          <w:rFonts w:hint="eastAsia" w:hAnsi="宋体" w:cs="宋体"/>
          <w:b/>
          <w:bCs/>
        </w:rPr>
        <w:t>前附表</w:t>
      </w:r>
      <w:r>
        <w:rPr>
          <w:rFonts w:hint="eastAsia" w:hAnsi="宋体" w:cs="宋体"/>
        </w:rPr>
        <w:t>。</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31" w:name="_Toc14891070"/>
      <w:bookmarkStart w:id="32" w:name="_Toc9387"/>
      <w:bookmarkStart w:id="33" w:name="_Toc25456"/>
      <w:r>
        <w:rPr>
          <w:rFonts w:hint="eastAsia" w:ascii="宋体" w:hAnsi="宋体" w:cs="宋体"/>
          <w:sz w:val="21"/>
          <w:szCs w:val="21"/>
        </w:rPr>
        <w:t>三、响应文件</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谈判单位提交的响应文件、谈判单位与采购单位的所有来往函电均使用中文。</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11.1响应文件应包括下列内容：</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（1）谈判承诺书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（2）法定代表人身份证明书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（3）授权委托书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（4）谈判单位资格条件证明文件</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（5）服务方案</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s="宋体"/>
          <w:highlight w:val="none"/>
        </w:rPr>
      </w:pPr>
      <w:r>
        <w:rPr>
          <w:rFonts w:hint="eastAsia" w:hAnsi="宋体" w:cs="宋体"/>
          <w:highlight w:val="none"/>
        </w:rPr>
        <w:t>（6）报价一览表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宋体"/>
          <w:highlight w:val="none"/>
          <w:lang w:val="en-US" w:eastAsia="zh-CN"/>
        </w:rPr>
      </w:pPr>
      <w:r>
        <w:rPr>
          <w:rFonts w:hint="eastAsia" w:hAnsi="宋体" w:cs="宋体"/>
          <w:highlight w:val="none"/>
          <w:lang w:eastAsia="zh-CN"/>
        </w:rPr>
        <w:t>（</w:t>
      </w:r>
      <w:r>
        <w:rPr>
          <w:rFonts w:hint="eastAsia" w:hAnsi="宋体" w:cs="宋体"/>
          <w:highlight w:val="none"/>
          <w:lang w:val="en-US" w:eastAsia="zh-CN"/>
        </w:rPr>
        <w:t>7</w:t>
      </w:r>
      <w:r>
        <w:rPr>
          <w:rFonts w:hint="eastAsia" w:hAnsi="宋体" w:cs="宋体"/>
          <w:highlight w:val="none"/>
          <w:lang w:eastAsia="zh-CN"/>
        </w:rPr>
        <w:t>）</w:t>
      </w:r>
      <w:r>
        <w:rPr>
          <w:rFonts w:hint="eastAsia" w:hAnsi="宋体" w:cs="宋体"/>
          <w:highlight w:val="none"/>
          <w:lang w:val="en-US" w:eastAsia="zh-CN"/>
        </w:rPr>
        <w:t>分项价格表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谈判单位应按第七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12.2本项目以不含增值税总价进行评审。谈判单位报价须满足“谈判不含增值税总报价=谈判总报价/（1+增值税税率）”和“不含增值税单价=含税单价/（1+增值税税率）”，否则视为无效报价。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12.3谈判单位应充分了解该项目的总体情况以及影响谈判报价的其他要素。</w:t>
      </w:r>
      <w:r>
        <w:rPr>
          <w:rFonts w:hint="eastAsia" w:ascii="宋体" w:hAnsi="宋体" w:cs="宋体"/>
          <w:b/>
          <w:szCs w:val="21"/>
        </w:rPr>
        <w:t>最终结算以长沙市轨道交通运营有限公司审核为准。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12.4谈判总报价为各分项报价金额之和，谈判总报价与分项报价的合价不一致的，应以各分项合价累计数为准，修正谈判总报价；如分项报价中存在缺漏项，则视为缺漏项价格已包含在其他分项报价之中。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谈判单位在谈判截止时间前修改响应文件中的谈判总报价，应同时修改报价文件《报价一览表》和《分项价格表》中的相应报价。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12.5本项目设置最高限价，谈判单位所报</w:t>
      </w:r>
      <w:r>
        <w:rPr>
          <w:rFonts w:hint="eastAsia" w:ascii="宋体" w:hAnsi="宋体" w:cs="宋体"/>
          <w:b/>
          <w:bCs/>
          <w:szCs w:val="21"/>
          <w:highlight w:val="none"/>
        </w:rPr>
        <w:t>含税总价</w:t>
      </w:r>
      <w:r>
        <w:rPr>
          <w:rFonts w:hint="eastAsia" w:ascii="宋体" w:hAnsi="宋体" w:cs="宋体"/>
          <w:b/>
          <w:bCs/>
          <w:szCs w:val="21"/>
        </w:rPr>
        <w:t>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12.6谈判单位应按谈判文件规定的要求、责任范围和合同条件，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12.7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12.8谈判单位递交两份或多份内容不同的报价文件，或在一份报价文件中对同一项目报有两个或多个报价，且未声明哪一个有效的，将被认为是非实质响应被拒绝。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FF0000"/>
          <w:szCs w:val="21"/>
        </w:rPr>
      </w:pPr>
      <w:r>
        <w:rPr>
          <w:rFonts w:hint="eastAsia" w:ascii="宋体" w:hAnsi="宋体" w:cs="宋体"/>
          <w:bCs/>
          <w:szCs w:val="21"/>
        </w:rPr>
        <w:t>12.9最低报价不能作为中选的保证。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bCs/>
          <w:szCs w:val="21"/>
          <w:highlight w:val="none"/>
          <w:lang w:val="en-US"/>
        </w:rPr>
      </w:pPr>
      <w:r>
        <w:rPr>
          <w:rFonts w:hint="eastAsia" w:ascii="宋体" w:hAnsi="宋体" w:cs="宋体"/>
          <w:bCs/>
          <w:szCs w:val="21"/>
          <w:highlight w:val="none"/>
        </w:rPr>
        <w:t>12.10本项目为</w:t>
      </w:r>
      <w:r>
        <w:rPr>
          <w:rFonts w:hint="eastAsia" w:ascii="宋体" w:hAnsi="宋体" w:eastAsia="宋体" w:cs="宋体"/>
          <w:kern w:val="2"/>
          <w:sz w:val="21"/>
          <w:szCs w:val="21"/>
          <w:highlight w:val="none"/>
          <w:lang w:val="en-US" w:eastAsia="zh-CN" w:bidi="ar-SA"/>
        </w:rPr>
        <w:t>总价合同[除税率调整外，合同总价（即中标总价/中选总价/成交总价）在合同执行过程中固定不变，不随政府政策（长沙市规定的最低工资标准变化等）及市场物价上涨或回落等因素调整]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14.响应文件的编制</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35" w:name="_Toc1468"/>
      <w:bookmarkStart w:id="36" w:name="_Toc21518"/>
      <w:bookmarkStart w:id="37" w:name="_Toc14891071"/>
      <w:r>
        <w:rPr>
          <w:rFonts w:hint="eastAsia" w:ascii="宋体" w:hAnsi="宋体" w:cs="宋体"/>
          <w:sz w:val="21"/>
          <w:szCs w:val="21"/>
        </w:rPr>
        <w:t>四、响应文件的递交</w:t>
      </w:r>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bCs/>
          <w:szCs w:val="21"/>
        </w:rPr>
      </w:pPr>
      <w:r>
        <w:rPr>
          <w:rFonts w:hint="eastAsia" w:ascii="宋体" w:hAnsi="宋体" w:cs="宋体"/>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17.响应文件的递交与接收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highlight w:val="none"/>
        </w:rPr>
        <w:t>采购单位应</w:t>
      </w:r>
      <w:r>
        <w:rPr>
          <w:rFonts w:hint="eastAsia" w:hAnsi="宋体" w:cs="宋体"/>
          <w:kern w:val="0"/>
        </w:rPr>
        <w:t>当拒收。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规定的谈判时间和地点，组织谈判单位签到并接收响应文件。</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38" w:name="_Toc13483"/>
      <w:bookmarkStart w:id="39" w:name="_Toc19395"/>
      <w:bookmarkStart w:id="40" w:name="_Toc14891072"/>
      <w:r>
        <w:rPr>
          <w:rFonts w:hint="eastAsia" w:ascii="宋体" w:hAnsi="宋体" w:cs="宋体"/>
          <w:sz w:val="21"/>
          <w:szCs w:val="21"/>
        </w:rPr>
        <w:t>五、响应文件的评审</w:t>
      </w:r>
      <w:bookmarkEnd w:id="38"/>
      <w:bookmarkEnd w:id="39"/>
      <w:bookmarkEnd w:id="40"/>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18.</w:t>
      </w:r>
      <w:r>
        <w:rPr>
          <w:rFonts w:hint="eastAsia" w:ascii="宋体" w:hAnsi="宋体" w:cs="宋体"/>
          <w:bCs/>
          <w:szCs w:val="21"/>
        </w:rPr>
        <w:t>评审由谈判评审小组负责，谈判评审小组应按照本谈判文件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1" w:name="_Toc21358"/>
      <w:bookmarkStart w:id="42" w:name="_Toc14891073"/>
      <w:bookmarkStart w:id="43" w:name="_Toc25123"/>
      <w:r>
        <w:rPr>
          <w:rFonts w:hint="eastAsia" w:ascii="宋体" w:hAnsi="宋体" w:cs="宋体"/>
          <w:sz w:val="21"/>
          <w:szCs w:val="21"/>
        </w:rPr>
        <w:t>六、响应文件的澄清、说明及补正</w:t>
      </w:r>
      <w:bookmarkEnd w:id="41"/>
      <w:bookmarkEnd w:id="42"/>
      <w:bookmarkEnd w:id="43"/>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kern w:val="0"/>
          <w:szCs w:val="21"/>
        </w:rPr>
        <w:t>20.3与谈判文件有重大偏离的响应文件将被拒绝。重大偏离指谈判总报价、谈判不含增值税总报价、谈判有效期、服务期明显不能满足谈判文件的要求。这些偏离不允许在响应文件递交截止时间之后修正。</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4" w:name="_Toc14891074"/>
      <w:bookmarkStart w:id="45" w:name="_Toc20130"/>
      <w:bookmarkStart w:id="46" w:name="_Toc22523"/>
      <w:r>
        <w:rPr>
          <w:rFonts w:hint="eastAsia" w:ascii="宋体" w:hAnsi="宋体" w:cs="宋体"/>
          <w:sz w:val="21"/>
          <w:szCs w:val="21"/>
        </w:rPr>
        <w:t>七、中选结果与授予合同</w:t>
      </w:r>
      <w:bookmarkEnd w:id="44"/>
      <w:bookmarkEnd w:id="45"/>
      <w:bookmarkEnd w:id="46"/>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21.中选信息的公布</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7"/>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rPr>
      </w:pPr>
      <w:r>
        <w:rPr>
          <w:rFonts w:hint="eastAsia" w:hAnsi="宋体" w:cs="宋体"/>
          <w:b/>
          <w:bCs/>
        </w:rPr>
        <w:t>22.评审结果异议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b/>
        </w:rPr>
      </w:pPr>
      <w:r>
        <w:rPr>
          <w:rFonts w:hint="eastAsia" w:hAnsi="宋体" w:cs="宋体"/>
          <w:kern w:val="0"/>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23.中选通知</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24.签订合同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24.1谈判文件、中选单位的响应文件及其补充的文件等均为签订合同的依据。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24.2中选单位应当在中选通知书发出后及时与采购单位签订合同。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24.3中选单位应当按照合同约定履行义务。</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25.纪律和监督</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25.1对采购单位的纪律要求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25.2对谈判单位的纪律要求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25.4对与评审活动有关的工作人员的纪律要求</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8" w:name="_Toc14891075"/>
      <w:bookmarkStart w:id="49" w:name="_Toc30525"/>
      <w:bookmarkStart w:id="50" w:name="_Toc2045"/>
      <w:r>
        <w:rPr>
          <w:rFonts w:hint="eastAsia" w:ascii="宋体" w:hAnsi="宋体" w:cs="宋体"/>
          <w:sz w:val="21"/>
          <w:szCs w:val="21"/>
        </w:rPr>
        <w:t>八、其他</w:t>
      </w:r>
      <w:bookmarkEnd w:id="48"/>
      <w:bookmarkEnd w:id="49"/>
      <w:bookmarkEnd w:id="50"/>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26.处罚规定</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谈判单位提出撤回或撤销或放弃中选资格或对报价提出实质性修改；</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中选单位未能在规定期限内签订合同或不按报价结果签订合同；</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中选单位未能在规定期限内提交履约保证金；</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中选单位在合同订立过程中未能完全响应采购文件、清单、附件、合同要求以致合同无法订立的；</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highlight w:val="none"/>
        </w:rPr>
      </w:pPr>
      <w:r>
        <w:rPr>
          <w:rFonts w:hint="eastAsia" w:hAnsi="宋体" w:cs="宋体"/>
          <w:highlight w:val="none"/>
        </w:rPr>
        <w:t>经查实谈判单位报价资料弄虚作假的；</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串通参与谈判相关行为的。如不同谈判单位的谈判保证金从同一账户转出。</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26.3.法律法规中规定的其他情形。</w:t>
      </w:r>
    </w:p>
    <w:p>
      <w:pPr>
        <w:pStyle w:val="16"/>
        <w:rPr>
          <w:rFonts w:ascii="宋体" w:hAnsi="宋体" w:cs="宋体"/>
          <w:szCs w:val="21"/>
        </w:rPr>
      </w:pPr>
    </w:p>
    <w:p>
      <w:pPr>
        <w:sectPr>
          <w:footerReference r:id="rId7" w:type="default"/>
          <w:pgSz w:w="11906" w:h="16838"/>
          <w:pgMar w:top="2098" w:right="1474" w:bottom="1984" w:left="1587" w:header="851" w:footer="992" w:gutter="0"/>
          <w:pgNumType w:fmt="decimal"/>
          <w:cols w:space="0" w:num="1"/>
          <w:docGrid w:type="lines" w:linePitch="319" w:charSpace="0"/>
        </w:sectPr>
      </w:pPr>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pPr>
      <w:bookmarkStart w:id="51" w:name="_Toc28427"/>
      <w:bookmarkStart w:id="52" w:name="_Toc21513"/>
      <w:bookmarkStart w:id="53" w:name="_Toc5567"/>
      <w:bookmarkStart w:id="54" w:name="_Toc4275"/>
      <w:bookmarkStart w:id="55" w:name="_Toc1719"/>
      <w:r>
        <w:rPr>
          <w:rFonts w:hint="eastAsia" w:ascii="宋体" w:hAnsi="宋体" w:cs="宋体"/>
          <w:bCs w:val="0"/>
          <w:sz w:val="32"/>
          <w:szCs w:val="32"/>
        </w:rPr>
        <w:t>第三章  评审办法及标准</w:t>
      </w:r>
      <w:bookmarkEnd w:id="51"/>
      <w:bookmarkEnd w:id="52"/>
      <w:bookmarkEnd w:id="53"/>
      <w:bookmarkEnd w:id="54"/>
      <w:bookmarkEnd w:id="55"/>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2.1采购单位在</w:t>
      </w:r>
      <w:r>
        <w:rPr>
          <w:rFonts w:hint="eastAsia" w:ascii="宋体" w:hAnsi="宋体" w:cs="宋体"/>
          <w:b/>
          <w:szCs w:val="21"/>
        </w:rPr>
        <w:t>前附表</w:t>
      </w:r>
      <w:r>
        <w:rPr>
          <w:rFonts w:hint="eastAsia" w:ascii="宋体" w:hAnsi="宋体" w:cs="宋体"/>
          <w:bCs/>
          <w:szCs w:val="21"/>
        </w:rPr>
        <w:t>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3.1身份验证阶段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3.1.1采购单位按本文件</w:t>
      </w:r>
      <w:r>
        <w:rPr>
          <w:rFonts w:hint="eastAsia" w:ascii="宋体" w:hAnsi="宋体" w:cs="宋体"/>
          <w:b/>
          <w:szCs w:val="21"/>
        </w:rPr>
        <w:t>前附表</w:t>
      </w:r>
      <w:r>
        <w:rPr>
          <w:rFonts w:hint="eastAsia" w:ascii="宋体" w:hAnsi="宋体" w:cs="宋体"/>
          <w:bCs/>
          <w:szCs w:val="21"/>
        </w:rPr>
        <w:t>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3.2.唱价阶段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3.2.2谈判单位法定代表人或授权委托人、现场监督员、记录人等有关人员在唱价记录表上签字确认，谈判单位对本阶段有异议的应当场提出，采购单位人员当场作出答复，并记录在案，未提出的，视为无异议。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四、谈判评审阶段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谈判评审阶段分为符合性审查、详细评审及推荐中选单位。</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cs="宋体"/>
          <w:b/>
          <w:szCs w:val="21"/>
          <w:highlight w:val="none"/>
        </w:rPr>
      </w:pPr>
      <w:r>
        <w:rPr>
          <w:rFonts w:hint="eastAsia" w:ascii="宋体" w:hAnsi="宋体" w:cs="宋体"/>
          <w:b/>
          <w:szCs w:val="21"/>
          <w:highlight w:val="none"/>
        </w:rPr>
        <w:t>4.1符合性审查阶段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符</w:t>
      </w:r>
      <w:r>
        <w:rPr>
          <w:rFonts w:hint="eastAsia" w:ascii="宋体" w:hAnsi="宋体" w:cs="宋体"/>
          <w:color w:val="auto"/>
          <w:szCs w:val="21"/>
          <w:highlight w:val="none"/>
        </w:rPr>
        <w:t>合性审查分为对谈判单位资格的符合性审查及报价的符合性审查。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4.1.1资格的符合性审查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ascii="宋体" w:hAnsi="宋体"/>
          <w:szCs w:val="21"/>
          <w:highlight w:val="none"/>
        </w:rPr>
      </w:pPr>
      <w:r>
        <w:rPr>
          <w:rFonts w:hint="eastAsia" w:ascii="宋体" w:hAnsi="宋体" w:cs="宋体"/>
          <w:szCs w:val="21"/>
          <w:highlight w:val="none"/>
        </w:rPr>
        <w:t>谈判</w:t>
      </w:r>
      <w:r>
        <w:rPr>
          <w:rFonts w:hint="eastAsia" w:ascii="宋体" w:hAnsi="宋体"/>
          <w:szCs w:val="21"/>
          <w:highlight w:val="none"/>
        </w:rPr>
        <w:t>评审</w:t>
      </w:r>
      <w:r>
        <w:rPr>
          <w:rFonts w:hint="eastAsia" w:ascii="宋体" w:hAnsi="宋体"/>
          <w:bCs/>
          <w:szCs w:val="21"/>
          <w:highlight w:val="none"/>
        </w:rPr>
        <w:t>小组</w:t>
      </w:r>
      <w:r>
        <w:rPr>
          <w:rFonts w:hint="eastAsia" w:ascii="宋体" w:hAnsi="宋体"/>
          <w:szCs w:val="21"/>
          <w:highlight w:val="none"/>
        </w:rPr>
        <w:t>根据本</w:t>
      </w:r>
      <w:r>
        <w:rPr>
          <w:rFonts w:hint="eastAsia" w:ascii="宋体" w:hAnsi="宋体" w:cs="宋体"/>
          <w:szCs w:val="21"/>
          <w:highlight w:val="none"/>
        </w:rPr>
        <w:t>谈判</w:t>
      </w:r>
      <w:r>
        <w:rPr>
          <w:rFonts w:hint="eastAsia" w:ascii="宋体" w:hAnsi="宋体"/>
          <w:szCs w:val="21"/>
          <w:highlight w:val="none"/>
        </w:rPr>
        <w:t>文件</w:t>
      </w:r>
      <w:r>
        <w:rPr>
          <w:rFonts w:hint="eastAsia" w:hAnsi="宋体"/>
          <w:b/>
          <w:highlight w:val="none"/>
        </w:rPr>
        <w:t>前附表</w:t>
      </w:r>
      <w:r>
        <w:rPr>
          <w:rFonts w:hint="eastAsia" w:hAnsi="宋体"/>
          <w:highlight w:val="none"/>
        </w:rPr>
        <w:t>内</w:t>
      </w:r>
      <w:r>
        <w:rPr>
          <w:rFonts w:hint="eastAsia" w:ascii="宋体" w:hAnsi="宋体"/>
          <w:szCs w:val="21"/>
          <w:highlight w:val="none"/>
        </w:rPr>
        <w:t>规定的</w:t>
      </w:r>
      <w:r>
        <w:rPr>
          <w:rFonts w:hint="eastAsia" w:ascii="宋体" w:hAnsi="宋体" w:cs="宋体"/>
          <w:szCs w:val="21"/>
          <w:highlight w:val="none"/>
        </w:rPr>
        <w:t>谈判</w:t>
      </w:r>
      <w:r>
        <w:rPr>
          <w:rFonts w:hint="eastAsia" w:ascii="宋体" w:hAnsi="宋体"/>
          <w:szCs w:val="21"/>
          <w:highlight w:val="none"/>
        </w:rPr>
        <w:t>单位资格要求，对</w:t>
      </w:r>
      <w:r>
        <w:rPr>
          <w:rFonts w:hint="eastAsia" w:ascii="宋体" w:hAnsi="宋体" w:cs="宋体"/>
          <w:szCs w:val="21"/>
          <w:highlight w:val="none"/>
        </w:rPr>
        <w:t>谈判</w:t>
      </w:r>
      <w:r>
        <w:rPr>
          <w:rFonts w:hint="eastAsia" w:ascii="宋体" w:hAnsi="宋体"/>
          <w:szCs w:val="21"/>
          <w:highlight w:val="none"/>
        </w:rPr>
        <w:t>单位进行符合性审查，资格审查以</w:t>
      </w:r>
      <w:r>
        <w:rPr>
          <w:rFonts w:hint="eastAsia" w:ascii="宋体" w:hAnsi="宋体" w:cs="宋体"/>
          <w:szCs w:val="21"/>
          <w:highlight w:val="none"/>
        </w:rPr>
        <w:t>谈判</w:t>
      </w:r>
      <w:r>
        <w:rPr>
          <w:rFonts w:hint="eastAsia" w:ascii="宋体" w:hAnsi="宋体"/>
          <w:szCs w:val="21"/>
          <w:highlight w:val="none"/>
        </w:rPr>
        <w:t>单位递交的</w:t>
      </w:r>
      <w:r>
        <w:rPr>
          <w:rFonts w:hint="eastAsia" w:ascii="宋体" w:hAnsi="宋体"/>
          <w:b/>
          <w:bCs/>
          <w:szCs w:val="21"/>
          <w:highlight w:val="none"/>
        </w:rPr>
        <w:t>原件</w:t>
      </w:r>
      <w:r>
        <w:rPr>
          <w:rFonts w:hint="eastAsia" w:ascii="宋体" w:hAnsi="宋体"/>
          <w:b/>
          <w:bCs/>
          <w:szCs w:val="21"/>
          <w:highlight w:val="none"/>
          <w:lang w:eastAsia="zh-CN"/>
        </w:rPr>
        <w:t>或原件</w:t>
      </w:r>
      <w:r>
        <w:rPr>
          <w:rFonts w:hint="eastAsia" w:ascii="宋体" w:hAnsi="宋体"/>
          <w:b/>
          <w:bCs/>
          <w:szCs w:val="21"/>
          <w:highlight w:val="none"/>
        </w:rPr>
        <w:t>扫描件</w:t>
      </w:r>
      <w:r>
        <w:rPr>
          <w:rFonts w:hint="eastAsia" w:ascii="宋体" w:hAnsi="宋体"/>
          <w:b/>
          <w:szCs w:val="21"/>
          <w:highlight w:val="none"/>
          <w:lang w:eastAsia="zh-CN"/>
        </w:rPr>
        <w:t>打印版</w:t>
      </w:r>
      <w:r>
        <w:rPr>
          <w:rFonts w:hint="eastAsia" w:ascii="宋体" w:hAnsi="宋体"/>
          <w:szCs w:val="21"/>
          <w:highlight w:val="none"/>
        </w:rPr>
        <w:t>资料为准。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4.1.2报价的符合性审查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谈判评审小组根据谈判文件的规定，对</w:t>
      </w:r>
      <w:r>
        <w:rPr>
          <w:rFonts w:hint="eastAsia" w:ascii="宋体" w:hAnsi="宋体" w:cs="宋体"/>
          <w:color w:val="auto"/>
          <w:szCs w:val="21"/>
        </w:rPr>
        <w:t>谈判单位提交的响应文件（报价部分）的</w:t>
      </w:r>
      <w:r>
        <w:rPr>
          <w:rFonts w:hint="eastAsia" w:ascii="宋体" w:hAnsi="宋体" w:cs="宋体"/>
          <w:szCs w:val="21"/>
        </w:rPr>
        <w:t>有效性、完整性等进行符合性审查。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4.1.3有下列情形之一的，为符合性审查不合格，视为无效响应，不进入下一阶段：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
          <w:bCs/>
          <w:szCs w:val="21"/>
        </w:rPr>
      </w:pPr>
      <w:r>
        <w:rPr>
          <w:rFonts w:hint="eastAsia" w:ascii="宋体" w:hAnsi="宋体"/>
          <w:szCs w:val="21"/>
        </w:rPr>
        <w:t>（1）未按照谈判文件规定要求签署盖章的。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（3）不满足资格条件要求的。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（5）</w:t>
      </w:r>
      <w:r>
        <w:rPr>
          <w:rFonts w:hint="eastAsia" w:ascii="宋体" w:hAnsi="宋体"/>
          <w:color w:val="auto"/>
          <w:szCs w:val="21"/>
          <w:highlight w:val="none"/>
        </w:rPr>
        <w:t>谈判单位所</w:t>
      </w:r>
      <w:r>
        <w:rPr>
          <w:rFonts w:hint="eastAsia" w:ascii="宋体" w:hAnsi="宋体" w:eastAsia="宋体" w:cs="宋体"/>
          <w:color w:val="auto"/>
          <w:sz w:val="21"/>
          <w:szCs w:val="21"/>
          <w:highlight w:val="none"/>
        </w:rPr>
        <w:t>报的</w:t>
      </w:r>
      <w:r>
        <w:rPr>
          <w:rFonts w:hint="eastAsia" w:ascii="宋体" w:hAnsi="宋体" w:eastAsia="宋体" w:cs="宋体"/>
          <w:color w:val="auto"/>
          <w:highlight w:val="none"/>
          <w:lang w:val="en-US" w:eastAsia="zh-CN"/>
        </w:rPr>
        <w:t>单价、含税总报价</w:t>
      </w:r>
      <w:r>
        <w:rPr>
          <w:rFonts w:hint="eastAsia" w:ascii="宋体" w:hAnsi="宋体" w:eastAsia="宋体" w:cs="宋体"/>
          <w:color w:val="auto"/>
          <w:sz w:val="21"/>
          <w:szCs w:val="21"/>
          <w:highlight w:val="none"/>
        </w:rPr>
        <w:t>超过</w:t>
      </w:r>
      <w:r>
        <w:rPr>
          <w:rFonts w:hint="eastAsia" w:ascii="宋体" w:hAnsi="宋体" w:cs="宋体"/>
          <w:strike w:val="0"/>
          <w:dstrike w:val="0"/>
          <w:color w:val="auto"/>
          <w:sz w:val="21"/>
          <w:szCs w:val="21"/>
          <w:highlight w:val="none"/>
          <w:lang w:eastAsia="zh-CN"/>
        </w:rPr>
        <w:t>谈判最高限价</w:t>
      </w:r>
      <w:r>
        <w:rPr>
          <w:rFonts w:hint="eastAsia" w:ascii="宋体" w:hAnsi="宋体" w:cs="宋体"/>
          <w:strike w:val="0"/>
          <w:dstrike w:val="0"/>
          <w:color w:val="auto"/>
          <w:sz w:val="21"/>
          <w:szCs w:val="21"/>
          <w:highlight w:val="none"/>
          <w:lang w:val="en-US" w:eastAsia="zh-CN"/>
        </w:rPr>
        <w:t>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递交两份或多份内容不同的报价文件，或在一份报价文件中对同一项目报有两个或多个报价，且未声明哪一个有效的，谈判文件另有要求的除外。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4.1.4算术错误修正</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谈判评审小组检查谈判单位的报价是否有算术错误，算术性错误分析和修正按以下原则进行，修正的价格经谈判单位进行确认后具有约束力。谈判单位不接受修正价格的，应当予以否决。</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（1）响应文件中的大写金额与小写金额不一致的，以大写金额为准。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（4）如果分项报价中存在缺漏项，则视为缺漏项价格已包含在其他分项报价之中。</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4.2.1谈判评审小组应按以下要求对经符合性审查合格的谈判单位进行详细评审：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56" w:name="_Hlk70673845"/>
      <w:r>
        <w:rPr>
          <w:rFonts w:hint="eastAsia" w:ascii="宋体" w:hAnsi="宋体" w:cs="宋体"/>
          <w:b/>
          <w:bCs/>
          <w:kern w:val="0"/>
          <w:szCs w:val="21"/>
        </w:rPr>
        <w:t>谈判不含增值税总报价</w:t>
      </w:r>
      <w:bookmarkEnd w:id="56"/>
      <w:r>
        <w:rPr>
          <w:rFonts w:hint="eastAsia" w:ascii="宋体" w:hAnsi="宋体" w:cs="宋体"/>
          <w:kern w:val="0"/>
          <w:szCs w:val="21"/>
        </w:rPr>
        <w:t>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其他有效单位的得分统一按下列公式计算（保留2位小数，第3位四舍五入）：谈判单位得分=(基准价／谈判不含增值税总报价)×100</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ascii="宋体" w:hAnsi="宋体" w:cs="宋体"/>
          <w:b/>
          <w:bCs/>
          <w:szCs w:val="21"/>
        </w:rPr>
      </w:pPr>
      <w:r>
        <w:rPr>
          <w:rFonts w:hint="eastAsia" w:ascii="宋体" w:hAnsi="宋体" w:cs="宋体"/>
          <w:b/>
          <w:bCs/>
          <w:szCs w:val="21"/>
        </w:rPr>
        <w:t>5.推荐中选单位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5.1谈判评审小组应当在全部评审结束后，按照综合得分由高到低的顺序推荐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3名中选候选人，并填写评审报告。经</w:t>
      </w:r>
      <w:r>
        <w:rPr>
          <w:rFonts w:hint="eastAsia" w:ascii="宋体" w:hAnsi="宋体" w:cs="宋体"/>
          <w:color w:val="auto"/>
        </w:rPr>
        <w:t>对排名第一的中选候选人进行公示，且</w:t>
      </w:r>
      <w:r>
        <w:rPr>
          <w:rFonts w:hint="eastAsia" w:ascii="宋体" w:hAnsi="宋体" w:cs="宋体"/>
          <w:kern w:val="0"/>
          <w:szCs w:val="21"/>
        </w:rPr>
        <w:t>公示无异议后，确定排名第一的中选候选人为中选人。</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5.2全部评审结束后，若出现报价得分相同的情形，则采用现场抽签方式确定中选候选人。</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sectPr>
          <w:headerReference r:id="rId8" w:type="default"/>
          <w:footerReference r:id="rId9" w:type="default"/>
          <w:pgSz w:w="11906" w:h="16838"/>
          <w:pgMar w:top="2098" w:right="1474" w:bottom="1984" w:left="1587" w:header="851" w:footer="992" w:gutter="0"/>
          <w:pgNumType w:fmt="decimal"/>
          <w:cols w:space="0" w:num="1"/>
          <w:docGrid w:type="lines" w:linePitch="319" w:charSpace="0"/>
        </w:sectPr>
      </w:pPr>
      <w:bookmarkStart w:id="57" w:name="_Toc18202"/>
      <w:bookmarkStart w:id="58" w:name="_Toc17997"/>
      <w:bookmarkStart w:id="59" w:name="_Toc17562"/>
      <w:bookmarkStart w:id="60" w:name="_Toc23442"/>
      <w:bookmarkStart w:id="61" w:name="_Toc14891077"/>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pPr>
      <w:bookmarkStart w:id="62" w:name="_Toc5922"/>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keepNext w:val="0"/>
        <w:keepLines w:val="0"/>
        <w:pageBreakBefore w:val="0"/>
        <w:kinsoku/>
        <w:wordWrap/>
        <w:overflowPunct/>
        <w:topLinePunct w:val="0"/>
        <w:autoSpaceDE/>
        <w:autoSpaceDN/>
        <w:bidi w:val="0"/>
        <w:spacing w:line="360" w:lineRule="auto"/>
        <w:ind w:left="0" w:leftChars="0"/>
        <w:textAlignment w:val="auto"/>
      </w:pP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rPr>
      </w:pPr>
      <w:r>
        <w:rPr>
          <w:rFonts w:hint="eastAsia" w:ascii="宋体" w:hAnsi="宋体" w:cs="宋体"/>
        </w:rPr>
        <w:t>用户需求书详见本项目谈判邀请公告附件：</w:t>
      </w:r>
      <w:r>
        <w:rPr>
          <w:rFonts w:hint="eastAsia" w:ascii="宋体" w:hAnsi="宋体" w:cs="宋体"/>
          <w:u w:val="single"/>
        </w:rPr>
        <w:t>长沙市轨道交通2号线电客车首轮大修、4号线电客车首轮架修概算编制咨询服务项目</w:t>
      </w:r>
      <w:r>
        <w:rPr>
          <w:rFonts w:hint="eastAsia" w:ascii="宋体" w:hAnsi="宋体" w:cs="宋体"/>
        </w:rPr>
        <w:t>用户需求书。</w:t>
      </w:r>
    </w:p>
    <w:p>
      <w:pPr>
        <w:keepNext w:val="0"/>
        <w:keepLines w:val="0"/>
        <w:pageBreakBefore w:val="0"/>
        <w:kinsoku/>
        <w:wordWrap/>
        <w:overflowPunct/>
        <w:topLinePunct w:val="0"/>
        <w:autoSpaceDE/>
        <w:autoSpaceDN/>
        <w:bidi w:val="0"/>
        <w:spacing w:line="360" w:lineRule="auto"/>
        <w:ind w:left="0" w:leftChars="0"/>
        <w:textAlignment w:val="auto"/>
      </w:pPr>
    </w:p>
    <w:p>
      <w:pPr>
        <w:keepNext w:val="0"/>
        <w:keepLines w:val="0"/>
        <w:pageBreakBefore w:val="0"/>
        <w:kinsoku/>
        <w:wordWrap/>
        <w:overflowPunct/>
        <w:topLinePunct w:val="0"/>
        <w:autoSpaceDE/>
        <w:autoSpaceDN/>
        <w:bidi w:val="0"/>
        <w:spacing w:line="360" w:lineRule="auto"/>
        <w:ind w:left="0" w:leftChars="0"/>
        <w:textAlignment w:val="auto"/>
        <w:sectPr>
          <w:pgSz w:w="11906" w:h="16838"/>
          <w:pgMar w:top="2098" w:right="1474" w:bottom="1984" w:left="1587" w:header="851" w:footer="992" w:gutter="0"/>
          <w:pgNumType w:fmt="decimal"/>
          <w:cols w:space="0" w:num="1"/>
          <w:docGrid w:type="lines" w:linePitch="319" w:charSpace="0"/>
        </w:sectPr>
      </w:pPr>
    </w:p>
    <w:p>
      <w:pPr>
        <w:pStyle w:val="6"/>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val="0"/>
          <w:sz w:val="32"/>
          <w:szCs w:val="32"/>
        </w:rPr>
      </w:pPr>
      <w:bookmarkStart w:id="63" w:name="_Toc26058"/>
      <w:bookmarkStart w:id="64" w:name="_Toc31851"/>
      <w:bookmarkStart w:id="65" w:name="_Toc22262"/>
      <w:bookmarkStart w:id="66" w:name="_Toc19554"/>
      <w:bookmarkStart w:id="67" w:name="_Toc17441"/>
      <w:bookmarkStart w:id="68" w:name="_Toc13521"/>
      <w:bookmarkStart w:id="69" w:name="_Toc14891078"/>
      <w:r>
        <w:rPr>
          <w:rFonts w:hint="eastAsia" w:ascii="宋体" w:hAnsi="宋体" w:eastAsia="宋体" w:cs="宋体"/>
          <w:bCs w:val="0"/>
          <w:sz w:val="32"/>
          <w:szCs w:val="32"/>
          <w:lang w:eastAsia="zh-CN"/>
        </w:rPr>
        <w:t>第五章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谈判最高限价</w:t>
      </w:r>
      <w:bookmarkEnd w:id="63"/>
      <w:bookmarkEnd w:id="64"/>
    </w:p>
    <w:p>
      <w:pPr>
        <w:keepNext w:val="0"/>
        <w:keepLines w:val="0"/>
        <w:pageBreakBefore w:val="0"/>
        <w:numPr>
          <w:ilvl w:val="0"/>
          <w:numId w:val="0"/>
        </w:numPr>
        <w:kinsoku/>
        <w:wordWrap/>
        <w:overflowPunct/>
        <w:topLinePunct w:val="0"/>
        <w:autoSpaceDE/>
        <w:autoSpaceDN/>
        <w:bidi w:val="0"/>
        <w:spacing w:line="360" w:lineRule="auto"/>
        <w:ind w:left="0" w:leftChars="0"/>
        <w:textAlignment w:val="auto"/>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关于长沙市轨道交通2号线电客车首轮大修、4号线电客车首轮架修概算编制咨询服务项目最高限价的公示说明</w:t>
      </w:r>
    </w:p>
    <w:p>
      <w:pPr>
        <w:pStyle w:val="2"/>
        <w:keepNext w:val="0"/>
        <w:keepLines w:val="0"/>
        <w:pageBreakBefore w:val="0"/>
        <w:kinsoku/>
        <w:wordWrap/>
        <w:overflowPunct/>
        <w:topLinePunct w:val="0"/>
        <w:autoSpaceDE/>
        <w:autoSpaceDN/>
        <w:bidi w:val="0"/>
        <w:spacing w:after="0" w:line="360" w:lineRule="auto"/>
        <w:ind w:left="0" w:leftChars="0"/>
        <w:textAlignment w:val="auto"/>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cs="宋体"/>
          <w:kern w:val="0"/>
          <w:szCs w:val="21"/>
          <w:lang w:val="en-US"/>
        </w:rPr>
      </w:pPr>
      <w:r>
        <w:rPr>
          <w:rFonts w:hint="eastAsia" w:ascii="宋体" w:hAnsi="宋体" w:cs="宋体"/>
          <w:kern w:val="0"/>
          <w:szCs w:val="21"/>
          <w:lang w:val="en-US" w:eastAsia="zh-CN"/>
        </w:rPr>
        <w:t>一、长沙市轨道交通2号线电客车首轮大修、4号线电客车首轮架修概算编制咨询服务项目最高限价（含税）为208573.44元。</w:t>
      </w:r>
      <w:r>
        <w:rPr>
          <w:rFonts w:hint="eastAsia" w:ascii="宋体" w:hAnsi="宋体" w:cs="宋体"/>
          <w:kern w:val="0"/>
          <w:szCs w:val="21"/>
        </w:rPr>
        <w:t>总报价（含税）不得高于公示的最高限价。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二、最高限价（含税）包含项目实施过程按相关法律政策征收的一切税费、管理费、保险费、利润以及其他一切与该项目实施有关的所有费用。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三、本项目具体工作内容以用户需求书为准，合同价格不随政府政策及市场物价上涨或回落等因素调整（税金除外）。请谈判单位依据用户需求书并充分考虑各项上涨因素后自行报价。</w:t>
      </w:r>
    </w:p>
    <w:p>
      <w:pPr>
        <w:pStyle w:val="2"/>
        <w:keepNext w:val="0"/>
        <w:keepLines w:val="0"/>
        <w:pageBreakBefore w:val="0"/>
        <w:kinsoku/>
        <w:wordWrap/>
        <w:overflowPunct/>
        <w:topLinePunct w:val="0"/>
        <w:autoSpaceDE/>
        <w:autoSpaceDN/>
        <w:bidi w:val="0"/>
        <w:spacing w:after="0" w:line="360" w:lineRule="auto"/>
        <w:ind w:left="0" w:leftChars="0"/>
        <w:textAlignment w:val="auto"/>
      </w:pPr>
    </w:p>
    <w:p>
      <w:pPr>
        <w:pStyle w:val="2"/>
        <w:keepNext w:val="0"/>
        <w:keepLines w:val="0"/>
        <w:pageBreakBefore w:val="0"/>
        <w:kinsoku/>
        <w:wordWrap/>
        <w:overflowPunct/>
        <w:topLinePunct w:val="0"/>
        <w:autoSpaceDE/>
        <w:autoSpaceDN/>
        <w:bidi w:val="0"/>
        <w:spacing w:after="0" w:line="360" w:lineRule="auto"/>
        <w:ind w:left="0" w:leftChars="0"/>
        <w:textAlignment w:val="auto"/>
        <w:sectPr>
          <w:pgSz w:w="11906" w:h="16838"/>
          <w:pgMar w:top="2098" w:right="1474" w:bottom="1984" w:left="1587" w:header="851" w:footer="992" w:gutter="0"/>
          <w:pgNumType w:fmt="decimal"/>
          <w:cols w:space="0" w:num="1"/>
          <w:docGrid w:type="lines" w:linePitch="319" w:charSpace="0"/>
        </w:sectPr>
      </w:pPr>
    </w:p>
    <w:p>
      <w:pPr>
        <w:pStyle w:val="6"/>
        <w:keepNext w:val="0"/>
        <w:rPr>
          <w:rFonts w:ascii="宋体" w:hAnsi="宋体" w:cs="宋体"/>
          <w:bCs w:val="0"/>
          <w:color w:val="FF0000"/>
          <w:sz w:val="32"/>
          <w:szCs w:val="32"/>
        </w:rPr>
      </w:pPr>
      <w:bookmarkStart w:id="70" w:name="_Toc1188"/>
      <w:r>
        <w:rPr>
          <w:rFonts w:hint="eastAsia" w:ascii="宋体" w:hAnsi="宋体" w:cs="宋体"/>
          <w:bCs w:val="0"/>
          <w:sz w:val="32"/>
          <w:szCs w:val="32"/>
        </w:rPr>
        <w:t>第六章  合同格式条款</w:t>
      </w:r>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snapToGrid w:val="0"/>
        <w:spacing w:line="360" w:lineRule="auto"/>
        <w:jc w:val="center"/>
        <w:textAlignment w:val="auto"/>
        <w:outlineLvl w:val="9"/>
        <w:rPr>
          <w:rFonts w:ascii="宋体" w:hAnsi="宋体" w:cs="宋体"/>
          <w:b/>
          <w:sz w:val="32"/>
          <w:szCs w:val="32"/>
        </w:rPr>
      </w:pPr>
      <w:bookmarkStart w:id="71" w:name="_Toc18525"/>
      <w:bookmarkStart w:id="72" w:name="_Toc29654"/>
      <w:bookmarkStart w:id="73" w:name="_Toc5097"/>
      <w:bookmarkStart w:id="74" w:name="_Toc20891"/>
    </w:p>
    <w:p>
      <w:pPr>
        <w:keepNext w:val="0"/>
        <w:keepLines w:val="0"/>
        <w:pageBreakBefore w:val="0"/>
        <w:widowControl w:val="0"/>
        <w:kinsoku/>
        <w:wordWrap/>
        <w:overflowPunct/>
        <w:topLinePunct w:val="0"/>
        <w:autoSpaceDE/>
        <w:autoSpaceDN/>
        <w:bidi w:val="0"/>
        <w:jc w:val="right"/>
        <w:textAlignment w:val="auto"/>
        <w:outlineLvl w:val="9"/>
        <w:rPr>
          <w:rFonts w:ascii="仿宋_GB2312" w:hAnsi="仿宋_GB2312" w:eastAsia="仿宋_GB2312" w:cs="仿宋_GB2312"/>
          <w:sz w:val="28"/>
        </w:rPr>
      </w:pPr>
      <w:r>
        <w:rPr>
          <w:rFonts w:hint="eastAsia" w:ascii="仿宋_GB2312" w:hAnsi="仿宋_GB2312" w:eastAsia="仿宋_GB2312" w:cs="仿宋_GB2312"/>
          <w:b/>
          <w:sz w:val="24"/>
        </w:rPr>
        <w:t xml:space="preserve"> 合同编号：</w:t>
      </w:r>
      <w:r>
        <w:rPr>
          <w:rFonts w:hint="eastAsia" w:ascii="仿宋_GB2312" w:hAnsi="仿宋_GB2312" w:eastAsia="仿宋_GB2312" w:cs="仿宋_GB2312"/>
          <w:sz w:val="24"/>
          <w:u w:val="dotted"/>
        </w:rPr>
        <w:t xml:space="preserve">          合同【20   】   号</w:t>
      </w:r>
    </w:p>
    <w:p>
      <w:pPr>
        <w:keepNext w:val="0"/>
        <w:keepLines w:val="0"/>
        <w:pageBreakBefore w:val="0"/>
        <w:widowControl w:val="0"/>
        <w:kinsoku/>
        <w:wordWrap/>
        <w:overflowPunct/>
        <w:topLinePunct w:val="0"/>
        <w:autoSpaceDE/>
        <w:autoSpaceDN/>
        <w:bidi w:val="0"/>
        <w:spacing w:before="100" w:beforeAutospacing="1" w:after="100" w:afterAutospacing="1"/>
        <w:jc w:val="center"/>
        <w:textAlignment w:val="auto"/>
        <w:outlineLvl w:val="9"/>
        <w:rPr>
          <w:rFonts w:hint="eastAsia" w:ascii="仿宋_GB2312" w:hAnsi="仿宋_GB2312" w:eastAsia="仿宋_GB2312" w:cs="仿宋_GB2312"/>
          <w:b/>
          <w:bCs/>
          <w:spacing w:val="30"/>
          <w:sz w:val="28"/>
          <w:szCs w:val="28"/>
          <w:highlight w:val="none"/>
        </w:rPr>
      </w:pPr>
    </w:p>
    <w:p>
      <w:pPr>
        <w:keepNext w:val="0"/>
        <w:keepLines w:val="0"/>
        <w:pageBreakBefore w:val="0"/>
        <w:widowControl w:val="0"/>
        <w:kinsoku/>
        <w:wordWrap/>
        <w:overflowPunct/>
        <w:topLinePunct w:val="0"/>
        <w:autoSpaceDE/>
        <w:autoSpaceDN/>
        <w:bidi w:val="0"/>
        <w:spacing w:before="100" w:beforeAutospacing="1" w:after="100" w:afterAutospacing="1"/>
        <w:jc w:val="center"/>
        <w:textAlignment w:val="auto"/>
        <w:outlineLvl w:val="9"/>
        <w:rPr>
          <w:rFonts w:hint="eastAsia" w:ascii="仿宋_GB2312" w:hAnsi="仿宋_GB2312" w:eastAsia="仿宋_GB2312" w:cs="仿宋_GB2312"/>
          <w:b/>
          <w:bCs/>
          <w:spacing w:val="30"/>
          <w:sz w:val="28"/>
          <w:szCs w:val="28"/>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52"/>
          <w:szCs w:val="52"/>
          <w:highlight w:val="none"/>
        </w:rPr>
      </w:pPr>
      <w:r>
        <w:rPr>
          <w:rFonts w:hint="eastAsia" w:ascii="仿宋_GB2312" w:hAnsi="仿宋_GB2312" w:eastAsia="仿宋_GB2312" w:cs="仿宋_GB2312"/>
          <w:b/>
          <w:sz w:val="52"/>
          <w:szCs w:val="52"/>
          <w:highlight w:val="none"/>
        </w:rPr>
        <w:t>咨询服务合同</w:t>
      </w: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52"/>
          <w:szCs w:val="52"/>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长沙市轨道交通2号线电客车首轮大修、4号线电客车首轮架修概算编制咨询服务项目</w:t>
      </w: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keepNext w:val="0"/>
        <w:keepLines w:val="0"/>
        <w:pageBreakBefore w:val="0"/>
        <w:widowControl w:val="0"/>
        <w:kinsoku/>
        <w:wordWrap/>
        <w:overflowPunct/>
        <w:topLinePunct w:val="0"/>
        <w:autoSpaceDE/>
        <w:autoSpaceDN/>
        <w:bidi w:val="0"/>
        <w:adjustRightInd w:val="0"/>
        <w:snapToGrid w:val="0"/>
        <w:spacing w:line="360" w:lineRule="auto"/>
        <w:ind w:firstLine="1344" w:firstLineChars="478"/>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委 托 方：</w:t>
      </w:r>
      <w:r>
        <w:rPr>
          <w:rFonts w:hint="eastAsia" w:ascii="仿宋_GB2312" w:hAnsi="仿宋_GB2312" w:eastAsia="仿宋_GB2312" w:cs="仿宋_GB2312"/>
          <w:b/>
          <w:sz w:val="28"/>
          <w:szCs w:val="28"/>
          <w:highlight w:val="none"/>
          <w:u w:val="dotted"/>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长沙市轨道交通四号线建设发展有限公司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344" w:firstLineChars="478"/>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受 托 方：</w:t>
      </w:r>
      <w:r>
        <w:rPr>
          <w:rFonts w:hint="eastAsia" w:ascii="仿宋_GB2312" w:hAnsi="仿宋_GB2312" w:eastAsia="仿宋_GB2312" w:cs="仿宋_GB2312"/>
          <w:b/>
          <w:sz w:val="28"/>
          <w:szCs w:val="28"/>
          <w:highlight w:val="none"/>
          <w:u w:val="dotted"/>
        </w:rPr>
        <w:t xml:space="preserve">                                     </w:t>
      </w:r>
    </w:p>
    <w:p>
      <w:pPr>
        <w:keepNext w:val="0"/>
        <w:keepLines w:val="0"/>
        <w:pageBreakBefore w:val="0"/>
        <w:widowControl w:val="0"/>
        <w:tabs>
          <w:tab w:val="left" w:pos="2580"/>
          <w:tab w:val="center" w:pos="5121"/>
        </w:tabs>
        <w:kinsoku/>
        <w:wordWrap/>
        <w:overflowPunct/>
        <w:topLinePunct w:val="0"/>
        <w:autoSpaceDE/>
        <w:autoSpaceDN/>
        <w:bidi w:val="0"/>
        <w:snapToGrid w:val="0"/>
        <w:spacing w:line="360" w:lineRule="auto"/>
        <w:jc w:val="center"/>
        <w:textAlignment w:val="auto"/>
        <w:outlineLvl w:val="9"/>
        <w:rPr>
          <w:rFonts w:hint="eastAsia" w:ascii="仿宋_GB2312" w:hAnsi="仿宋_GB2312" w:eastAsia="仿宋_GB2312" w:cs="仿宋_GB2312"/>
          <w:b/>
          <w:bCs/>
          <w:highlight w:val="none"/>
        </w:rPr>
        <w:sectPr>
          <w:pgSz w:w="11906" w:h="16838"/>
          <w:pgMar w:top="1440" w:right="1800" w:bottom="1440" w:left="1800" w:header="851" w:footer="992" w:gutter="0"/>
          <w:pgNumType w:fmt="decimal"/>
          <w:cols w:space="720" w:num="1"/>
          <w:docGrid w:type="lines" w:linePitch="312" w:charSpace="0"/>
        </w:sectPr>
      </w:pPr>
    </w:p>
    <w:p>
      <w:pPr>
        <w:keepNext w:val="0"/>
        <w:keepLines w:val="0"/>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第一部分 合同协议书</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rPr>
      </w:pP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rPr>
        <w:t>委托方(以下简称甲方)：</w:t>
      </w:r>
      <w:r>
        <w:rPr>
          <w:rFonts w:hint="eastAsia" w:ascii="仿宋_GB2312" w:hAnsi="仿宋_GB2312" w:eastAsia="仿宋_GB2312" w:cs="仿宋_GB2312"/>
          <w:b/>
          <w:highlight w:val="none"/>
          <w:u w:val="single"/>
        </w:rPr>
        <w:t>长沙市轨道交通运营有限公司</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u w:val="single"/>
        </w:rPr>
        <w:t>长沙市轨道交通四号线建设发展有限公司</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rPr>
        <w:t>受托方(以下简称乙方)：</w:t>
      </w:r>
      <w:r>
        <w:rPr>
          <w:rFonts w:hint="eastAsia" w:ascii="仿宋_GB2312" w:hAnsi="仿宋_GB2312" w:eastAsia="仿宋_GB2312" w:cs="仿宋_GB2312"/>
          <w:b/>
          <w:highlight w:val="none"/>
          <w:u w:val="single"/>
        </w:rPr>
        <w:t xml:space="preserve">                          </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根据《中华人民共和国民法典》及其他有关法律、法规，遵循平等、自愿、公平和诚实信用的原则，双方就下述项目工程咨询服务及有关事项协商一致，共同签订本合同。</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第一条 项目概况</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u w:val="single"/>
        </w:rPr>
        <w:t>与招采文件一致</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 xml:space="preserve"> </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咨询服务的内容及要求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1、咨询服务内容：</w:t>
      </w:r>
      <w:r>
        <w:rPr>
          <w:rFonts w:hint="eastAsia" w:ascii="仿宋_GB2312" w:hAnsi="仿宋_GB2312" w:eastAsia="仿宋_GB2312" w:cs="仿宋_GB2312"/>
          <w:highlight w:val="none"/>
          <w:u w:val="single"/>
        </w:rPr>
        <w:t>与招采文件一致</w:t>
      </w:r>
      <w:r>
        <w:rPr>
          <w:rFonts w:hint="eastAsia" w:ascii="仿宋_GB2312" w:hAnsi="仿宋_GB2312" w:eastAsia="仿宋_GB2312" w:cs="仿宋_GB2312"/>
          <w:highlight w:val="none"/>
        </w:rPr>
        <w:t>，具体内容详见技术说明及要求。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2、咨询服务要求：</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第三条 服务期限及进度要求</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 xml:space="preserve"> 与招采文件一致</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 xml:space="preserve"> </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各阶段进度应满足甲方工程建设进度要求，具体实施中再根据甲方批准计划落实，总的进度要求以满足甲方要求为原则。</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第四条 甲、乙双方的权利义务</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2" w:firstLineChars="200"/>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4.1 甲方的权利义务</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4.1.1甲方作为项目法人，对咨询服务过程的决策、控制、实施等环节实行管理,有权对乙方的咨询工作进行检查、考核。</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4.1.2甲方应向乙方提供必要的基础资料（基础资料中不完善的部分，由权威部门确认的代用资料替代），并对其完整性、正确性、时限性负责。</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4.1.3甲方为乙方现场作业工作提供相应熟悉情况的人员作向导，但不另行承担乙方工作人员现场工作期间所产生的一切费用（该费用已包含在签约酬金中），也不对乙方工作人员非因甲方原因而遭致的人身或者财产损失承担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4.1.4甲方应按本合同约定向乙方支付咨询报酬。</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2" w:firstLineChars="200"/>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4.2 乙方的权利义务</w:t>
      </w:r>
    </w:p>
    <w:p>
      <w:pPr>
        <w:pStyle w:val="43"/>
        <w:keepNext w:val="0"/>
        <w:keepLines w:val="0"/>
        <w:widowControl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4.2.1乙方应按国家规定和本合同约定的咨询内容进行研究和编制咨询工作成果，按甲方要求向甲方交付咨询工作成果，并对提交的咨询工作成果质量负责。</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4.2.2</w:t>
      </w:r>
      <w:r>
        <w:rPr>
          <w:rFonts w:hint="eastAsia" w:ascii="仿宋_GB2312" w:hAnsi="仿宋_GB2312" w:eastAsia="仿宋_GB2312" w:cs="仿宋_GB2312"/>
          <w:highlight w:val="none"/>
        </w:rPr>
        <w:t>乙方</w:t>
      </w:r>
      <w:r>
        <w:rPr>
          <w:rFonts w:hint="eastAsia" w:ascii="仿宋_GB2312" w:hAnsi="仿宋_GB2312" w:eastAsia="仿宋_GB2312" w:cs="仿宋_GB2312"/>
          <w:highlight w:val="none"/>
          <w:lang w:val="zh-CN"/>
        </w:rPr>
        <w:t>应协助甲方做好与各政府部门、沿线相关单位的技术协调以及舆情应对工作。</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4.2.3乙方应主动收集与咨询工作相关的各类资料，负责将收集的相关资料及时提供给甲方。具体要求详见技术说明及要求。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4.2.4乙方应自费对咨询工作成果出现的遗漏或错误负责修改和补充，甲方不再另行支付费用；因乙方遗漏或错误造成甲方损失的，由乙方承担全部责任和费用。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4.2.5乙方应按照法律法规的要求购买其工作人员的工伤保险、人身意外伤害险和其他保险，并使保险合同在合同服务期内保持有效，并承担其工作人员现场工作期间所产生的一切费用。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4.2.6乙方应理解甲方有权根据政府要求及进度情况对工期做合理调整，工期调整后乙方不得以任何理由要求增加费用，乙方应充分考虑并承诺承担因工期调整所发生的相关费用。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4.2.7</w:t>
      </w:r>
      <w:r>
        <w:rPr>
          <w:rFonts w:hint="eastAsia" w:ascii="仿宋_GB2312" w:hAnsi="仿宋_GB2312" w:eastAsia="仿宋_GB2312" w:cs="仿宋_GB2312"/>
          <w:highlight w:val="none"/>
        </w:rPr>
        <w:t>乙方应</w:t>
      </w:r>
      <w:r>
        <w:rPr>
          <w:rFonts w:hint="eastAsia" w:ascii="仿宋_GB2312" w:hAnsi="仿宋_GB2312" w:eastAsia="仿宋_GB2312" w:cs="仿宋_GB2312"/>
          <w:highlight w:val="none"/>
          <w:lang w:val="zh-CN"/>
        </w:rPr>
        <w:t>协助</w:t>
      </w:r>
      <w:r>
        <w:rPr>
          <w:rFonts w:hint="eastAsia" w:ascii="仿宋_GB2312" w:hAnsi="仿宋_GB2312" w:eastAsia="仿宋_GB2312" w:cs="仿宋_GB2312"/>
          <w:highlight w:val="none"/>
        </w:rPr>
        <w:t>甲方完成</w:t>
      </w:r>
      <w:r>
        <w:rPr>
          <w:rFonts w:hint="eastAsia" w:ascii="仿宋_GB2312" w:hAnsi="仿宋_GB2312" w:eastAsia="仿宋_GB2312" w:cs="仿宋_GB2312"/>
          <w:highlight w:val="none"/>
          <w:u w:val="single"/>
        </w:rPr>
        <w:t>□咨询工作成果的专家评审□咨询工作成果的相关职能部门备案</w:t>
      </w: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highlight w:val="none"/>
          <w:u w:val="single"/>
        </w:rPr>
        <w:t>咨询工作成果的相关职能部门批复□项目取得初步设计批复工作</w:t>
      </w:r>
      <w:r>
        <w:rPr>
          <w:rFonts w:hint="eastAsia" w:ascii="仿宋_GB2312" w:hAnsi="仿宋_GB2312" w:eastAsia="仿宋_GB2312" w:cs="仿宋_GB2312"/>
          <w:highlight w:val="none"/>
          <w:lang w:val="zh-CN"/>
        </w:rPr>
        <w:t>，</w:t>
      </w:r>
      <w:r>
        <w:rPr>
          <w:rFonts w:hint="eastAsia" w:ascii="仿宋_GB2312" w:hAnsi="仿宋_GB2312" w:eastAsia="仿宋_GB2312" w:cs="仿宋_GB2312"/>
          <w:highlight w:val="none"/>
        </w:rPr>
        <w:t>上述费用已包含在签约酬金中不再另行支付</w:t>
      </w:r>
      <w:r>
        <w:rPr>
          <w:rFonts w:hint="eastAsia" w:ascii="仿宋_GB2312" w:hAnsi="仿宋_GB2312" w:eastAsia="仿宋_GB2312" w:cs="仿宋_GB2312"/>
          <w:highlight w:val="none"/>
          <w:lang w:val="zh-CN"/>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4.2.8乙方应确保本合同约定的关键岗位人员应专职服务于本项目。</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咨询报酬的形式、金额及支付方式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5.1咨询报酬的形式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咨询报酬的形式为：</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u w:val="single"/>
        </w:rPr>
      </w:pP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highlight w:val="none"/>
          <w:u w:val="single"/>
        </w:rPr>
        <w:t>总价合同（除税率调整外，合同总价（即中标总价/中选总价/成交总价）在合同执行过程中固定不变，不随政府政策（长沙市规定的最低工资标准变化等）及市场物价上涨或回落等因素调整）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u w:val="single"/>
        </w:rPr>
        <w:t>□单价合同（除税率调整外，合同单价（即中标单价/中选单价/成交单价）在合同执行过程中固定不变，不随政府政策（长沙市规定的最低工资标准变化等）及市场物价上涨或回落等因素调整）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5.2咨询报酬的金额</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rPr>
        <w:t>签约酬金为含增值税价，金额为人民币（大写）</w:t>
      </w:r>
      <w:r>
        <w:rPr>
          <w:rFonts w:hint="eastAsia" w:ascii="仿宋_GB2312" w:hAnsi="仿宋_GB2312" w:eastAsia="仿宋_GB2312" w:cs="仿宋_GB2312"/>
          <w:highlight w:val="none"/>
          <w:u w:val="single"/>
        </w:rPr>
        <w:t>          </w:t>
      </w:r>
      <w:r>
        <w:rPr>
          <w:rFonts w:ascii="Times New Roman" w:hAnsi="Times New Roman" w:eastAsia="仿宋_GB2312" w:cs="Times New Roman"/>
          <w:highlight w:val="none"/>
        </w:rPr>
        <w:t>（¥</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），其中不含增值税价格为¥</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、签约酬金中的增值税为¥</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w:t>
      </w:r>
      <w:r>
        <w:rPr>
          <w:rFonts w:hint="eastAsia" w:ascii="仿宋_GB2312" w:hAnsi="仿宋_GB2312" w:eastAsia="仿宋_GB2312" w:cs="仿宋_GB2312"/>
          <w:highlight w:val="none"/>
        </w:rPr>
        <w:t>增值税根据乙方提供给甲方的增值税专用发票中的税额据实支付和结算，具体价格组成详见签约酬金清单。</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bCs/>
          <w:highlight w:val="none"/>
        </w:rPr>
        <w:t>按照长沙市政府或其职能部门相关规定，</w:t>
      </w:r>
      <w:r>
        <w:rPr>
          <w:rFonts w:hint="eastAsia" w:ascii="仿宋_GB2312" w:hAnsi="仿宋_GB2312" w:eastAsia="仿宋_GB2312" w:cs="仿宋_GB2312"/>
          <w:highlight w:val="none"/>
        </w:rPr>
        <w:t>本项目的酬金最终以</w:t>
      </w:r>
      <w:r>
        <w:rPr>
          <w:rFonts w:ascii="仿宋_GB2312" w:hAnsi="仿宋_GB2312" w:eastAsia="仿宋_GB2312" w:cs="仿宋_GB2312"/>
          <w:highlight w:val="none"/>
          <w:u w:val="single"/>
        </w:rPr>
        <w:t>□长沙市政府相关职能部门或长沙市轨道交通集团有限公司授权的单位审定价款为准</w:t>
      </w:r>
      <w:r>
        <w:rPr>
          <w:rFonts w:ascii="仿宋_GB2312" w:hAnsi="仿宋_GB2312" w:eastAsia="仿宋_GB2312" w:cs="仿宋_GB2312"/>
          <w:highlight w:val="none"/>
        </w:rPr>
        <w:t>/</w:t>
      </w:r>
      <w:r>
        <w:rPr>
          <w:rFonts w:ascii="仿宋_GB2312" w:hAnsi="仿宋_GB2312" w:eastAsia="仿宋_GB2312" w:cs="仿宋_GB2312"/>
          <w:highlight w:val="none"/>
          <w:u w:val="single"/>
        </w:rPr>
        <w:sym w:font="Wingdings 2" w:char="0052"/>
      </w:r>
      <w:r>
        <w:rPr>
          <w:rFonts w:ascii="仿宋_GB2312" w:hAnsi="仿宋_GB2312" w:eastAsia="仿宋_GB2312" w:cs="仿宋_GB2312"/>
          <w:highlight w:val="none"/>
          <w:u w:val="single"/>
        </w:rPr>
        <w:t>履约验收合格确定的最终价款为准</w:t>
      </w:r>
      <w:r>
        <w:rPr>
          <w:rFonts w:hint="eastAsia" w:ascii="仿宋_GB2312" w:hAnsi="仿宋_GB2312" w:eastAsia="仿宋_GB2312" w:cs="仿宋_GB2312"/>
          <w:bCs/>
          <w:highlight w:val="none"/>
        </w:rPr>
        <w:t>。酬金包括完成合同约定内容所产生的成本、费用（含会务费）、税金、利润、保险、专利、风险等</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5.3</w:t>
      </w:r>
      <w:r>
        <w:rPr>
          <w:rFonts w:hint="eastAsia" w:ascii="仿宋_GB2312" w:hAnsi="仿宋_GB2312" w:eastAsia="仿宋_GB2312" w:cs="仿宋_GB2312"/>
          <w:highlight w:val="none"/>
        </w:rPr>
        <w:t>支付方式和时间：</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bookmarkStart w:id="75" w:name="OLE_LINK5"/>
      <w:r>
        <w:rPr>
          <w:rFonts w:hint="eastAsia" w:ascii="仿宋_GB2312" w:hAnsi="仿宋_GB2312" w:eastAsia="仿宋_GB2312" w:cs="仿宋_GB2312"/>
          <w:highlight w:val="none"/>
        </w:rPr>
        <w:t>5.3.1支付方式</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本项目支付方式采用以下</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（1）  </w:t>
      </w:r>
      <w:r>
        <w:rPr>
          <w:rFonts w:hint="eastAsia" w:ascii="仿宋_GB2312" w:hAnsi="仿宋_GB2312" w:eastAsia="仿宋_GB2312" w:cs="仿宋_GB2312"/>
          <w:highlight w:val="none"/>
        </w:rPr>
        <w:t>方式。</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（1）一次支付：</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u w:val="single"/>
        </w:rPr>
        <w:t>□</w:t>
      </w:r>
      <w:r>
        <w:rPr>
          <w:rFonts w:hint="eastAsia" w:ascii="仿宋_GB2312" w:hAnsi="仿宋_GB2312" w:eastAsia="仿宋_GB2312" w:cs="仿宋_GB2312"/>
          <w:bCs/>
          <w:highlight w:val="none"/>
          <w:u w:val="single"/>
        </w:rPr>
        <w:t>乙方提交经甲方审核的咨询工作成果</w:t>
      </w:r>
      <w:r>
        <w:rPr>
          <w:rFonts w:hint="eastAsia" w:ascii="仿宋_GB2312" w:hAnsi="仿宋_GB2312" w:eastAsia="仿宋_GB2312" w:cs="仿宋_GB2312"/>
          <w:highlight w:val="none"/>
          <w:u w:val="single"/>
        </w:rPr>
        <w:t>□</w:t>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专家评审□</w:t>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相关职能部门备案</w:t>
      </w: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相关职能部门批复□项目取得初步设计批复</w:t>
      </w:r>
      <w:r>
        <w:rPr>
          <w:rFonts w:hint="eastAsia" w:ascii="仿宋_GB2312" w:hAnsi="仿宋_GB2312" w:eastAsia="仿宋_GB2312" w:cs="仿宋_GB2312"/>
          <w:highlight w:val="none"/>
        </w:rPr>
        <w:t>，且</w:t>
      </w:r>
      <w:r>
        <w:rPr>
          <w:rFonts w:ascii="仿宋_GB2312" w:hAnsi="仿宋_GB2312" w:eastAsia="仿宋_GB2312" w:cs="仿宋_GB2312"/>
          <w:highlight w:val="none"/>
          <w:u w:val="single"/>
        </w:rPr>
        <w:t>□</w:t>
      </w:r>
      <w:r>
        <w:rPr>
          <w:rFonts w:hint="eastAsia" w:ascii="仿宋_GB2312" w:hAnsi="仿宋_GB2312" w:eastAsia="仿宋_GB2312" w:cs="仿宋_GB2312"/>
          <w:highlight w:val="none"/>
          <w:u w:val="single"/>
        </w:rPr>
        <w:t>酬金经</w:t>
      </w:r>
      <w:r>
        <w:rPr>
          <w:rFonts w:hint="eastAsia" w:ascii="仿宋_GB2312" w:hAnsi="仿宋_GB2312" w:eastAsia="仿宋_GB2312" w:cs="仿宋_GB2312"/>
          <w:bCs/>
          <w:highlight w:val="none"/>
          <w:u w:val="single"/>
        </w:rPr>
        <w:t>长沙市政府相关职能部门或长沙市轨道交通集团有限公司授权的单位</w:t>
      </w:r>
      <w:r>
        <w:rPr>
          <w:rFonts w:hint="eastAsia" w:ascii="仿宋_GB2312" w:hAnsi="仿宋_GB2312" w:eastAsia="仿宋_GB2312" w:cs="仿宋_GB2312"/>
          <w:highlight w:val="none"/>
          <w:u w:val="single"/>
        </w:rPr>
        <w:t>审定后</w:t>
      </w:r>
      <w:r>
        <w:rPr>
          <w:rFonts w:ascii="仿宋_GB2312" w:hAnsi="仿宋_GB2312" w:eastAsia="仿宋_GB2312" w:cs="仿宋_GB2312"/>
          <w:highlight w:val="none"/>
        </w:rPr>
        <w:t>/</w:t>
      </w:r>
      <w:r>
        <w:rPr>
          <w:rFonts w:ascii="仿宋_GB2312" w:hAnsi="仿宋_GB2312" w:eastAsia="仿宋_GB2312" w:cs="仿宋_GB2312"/>
          <w:highlight w:val="none"/>
          <w:u w:val="single"/>
        </w:rPr>
        <w:sym w:font="Wingdings 2" w:char="0052"/>
      </w:r>
      <w:r>
        <w:rPr>
          <w:rFonts w:ascii="仿宋_GB2312" w:hAnsi="仿宋_GB2312" w:eastAsia="仿宋_GB2312" w:cs="仿宋_GB2312"/>
          <w:highlight w:val="none"/>
          <w:u w:val="single"/>
        </w:rPr>
        <w:t>本项目履约验收合格</w:t>
      </w:r>
      <w:r>
        <w:rPr>
          <w:rFonts w:hint="eastAsia" w:ascii="仿宋_GB2312" w:hAnsi="仿宋_GB2312" w:eastAsia="仿宋_GB2312" w:cs="仿宋_GB2312"/>
          <w:highlight w:val="none"/>
          <w:u w:val="single"/>
        </w:rPr>
        <w:t>后</w:t>
      </w:r>
      <w:r>
        <w:rPr>
          <w:rFonts w:hint="eastAsia" w:ascii="仿宋_GB2312" w:hAnsi="仿宋_GB2312" w:eastAsia="仿宋_GB2312" w:cs="仿宋_GB2312"/>
          <w:highlight w:val="none"/>
        </w:rPr>
        <w:t>，支付至酬金的100%。</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（2）分期支付：</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u w:val="single"/>
        </w:rPr>
        <w:t>□乙方完成咨询工作成果编制□咨询工作成果通过专家评审</w:t>
      </w:r>
      <w:r>
        <w:rPr>
          <w:rFonts w:hint="eastAsia" w:ascii="仿宋_GB2312" w:hAnsi="仿宋_GB2312" w:eastAsia="仿宋_GB2312" w:cs="仿宋_GB2312"/>
          <w:sz w:val="24"/>
          <w:szCs w:val="24"/>
          <w:highlight w:val="none"/>
        </w:rPr>
        <w:t>，支付签约酬金的50%；</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bCs/>
          <w:sz w:val="24"/>
          <w:szCs w:val="24"/>
          <w:highlight w:val="none"/>
          <w:u w:val="single"/>
        </w:rPr>
        <w:t>乙方提交经甲方审核的咨询工作成果</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bCs/>
          <w:sz w:val="24"/>
          <w:szCs w:val="24"/>
          <w:highlight w:val="none"/>
          <w:u w:val="single"/>
        </w:rPr>
        <w:t>咨询工作成果通过</w:t>
      </w:r>
      <w:r>
        <w:rPr>
          <w:rFonts w:hint="eastAsia" w:ascii="仿宋_GB2312" w:hAnsi="仿宋_GB2312" w:eastAsia="仿宋_GB2312" w:cs="仿宋_GB2312"/>
          <w:sz w:val="24"/>
          <w:szCs w:val="24"/>
          <w:highlight w:val="none"/>
          <w:u w:val="single"/>
        </w:rPr>
        <w:t>相关职能部门备案□</w:t>
      </w:r>
      <w:r>
        <w:rPr>
          <w:rFonts w:hint="eastAsia" w:ascii="仿宋_GB2312" w:hAnsi="仿宋_GB2312" w:eastAsia="仿宋_GB2312" w:cs="仿宋_GB2312"/>
          <w:bCs/>
          <w:sz w:val="24"/>
          <w:szCs w:val="24"/>
          <w:highlight w:val="none"/>
          <w:u w:val="single"/>
        </w:rPr>
        <w:t>咨询工作成果通过</w:t>
      </w:r>
      <w:r>
        <w:rPr>
          <w:rFonts w:hint="eastAsia" w:ascii="仿宋_GB2312" w:hAnsi="仿宋_GB2312" w:eastAsia="仿宋_GB2312" w:cs="仿宋_GB2312"/>
          <w:sz w:val="24"/>
          <w:szCs w:val="24"/>
          <w:highlight w:val="none"/>
          <w:u w:val="single"/>
        </w:rPr>
        <w:t>相关职能部门批复□项目取得初步设计批复</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highlight w:val="none"/>
          <w:u w:val="single"/>
        </w:rPr>
        <w:t>□</w:t>
      </w:r>
      <w:r>
        <w:rPr>
          <w:rFonts w:hint="eastAsia" w:ascii="仿宋_GB2312" w:hAnsi="仿宋_GB2312" w:eastAsia="仿宋_GB2312" w:cs="仿宋_GB2312"/>
          <w:sz w:val="24"/>
          <w:szCs w:val="24"/>
          <w:highlight w:val="none"/>
          <w:u w:val="single"/>
        </w:rPr>
        <w:t>酬金经</w:t>
      </w:r>
      <w:r>
        <w:rPr>
          <w:rFonts w:hint="eastAsia" w:ascii="仿宋_GB2312" w:hAnsi="仿宋_GB2312" w:eastAsia="仿宋_GB2312" w:cs="仿宋_GB2312"/>
          <w:bCs/>
          <w:sz w:val="24"/>
          <w:szCs w:val="24"/>
          <w:highlight w:val="none"/>
          <w:u w:val="single"/>
        </w:rPr>
        <w:t>长沙市政府相关职能部门或长沙市轨道交通集团有限公司授权的单位</w:t>
      </w:r>
      <w:r>
        <w:rPr>
          <w:rFonts w:hint="eastAsia" w:ascii="仿宋_GB2312" w:hAnsi="仿宋_GB2312" w:eastAsia="仿宋_GB2312" w:cs="仿宋_GB2312"/>
          <w:sz w:val="24"/>
          <w:szCs w:val="24"/>
          <w:highlight w:val="none"/>
          <w:u w:val="single"/>
        </w:rPr>
        <w:t>审定后</w:t>
      </w:r>
      <w:r>
        <w:rPr>
          <w:rFonts w:ascii="仿宋_GB2312" w:hAnsi="仿宋_GB2312" w:eastAsia="仿宋_GB2312" w:cs="仿宋_GB2312"/>
          <w:sz w:val="24"/>
          <w:highlight w:val="none"/>
        </w:rPr>
        <w:t>/</w:t>
      </w:r>
      <w:r>
        <w:rPr>
          <w:rFonts w:ascii="仿宋_GB2312" w:hAnsi="仿宋_GB2312" w:eastAsia="仿宋_GB2312" w:cs="仿宋_GB2312"/>
          <w:sz w:val="24"/>
          <w:highlight w:val="none"/>
          <w:u w:val="single"/>
        </w:rPr>
        <w:t>□本项目履约验收合格</w:t>
      </w:r>
      <w:r>
        <w:rPr>
          <w:rFonts w:hint="eastAsia" w:ascii="仿宋_GB2312" w:hAnsi="仿宋_GB2312" w:eastAsia="仿宋_GB2312" w:cs="仿宋_GB2312"/>
          <w:sz w:val="24"/>
          <w:szCs w:val="24"/>
          <w:highlight w:val="none"/>
          <w:u w:val="single"/>
        </w:rPr>
        <w:t>后</w:t>
      </w:r>
      <w:r>
        <w:rPr>
          <w:rFonts w:hint="eastAsia" w:ascii="仿宋_GB2312" w:hAnsi="仿宋_GB2312" w:eastAsia="仿宋_GB2312" w:cs="仿宋_GB2312"/>
          <w:sz w:val="24"/>
          <w:szCs w:val="24"/>
          <w:highlight w:val="none"/>
        </w:rPr>
        <w:t>，支付至酬金的100%。</w:t>
      </w:r>
    </w:p>
    <w:p>
      <w:pPr>
        <w:keepNext w:val="0"/>
        <w:keepLines w:val="0"/>
        <w:kinsoku/>
        <w:wordWrap/>
        <w:overflowPunct/>
        <w:topLinePunct w:val="0"/>
        <w:autoSpaceDE/>
        <w:autoSpaceDN/>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5.3.2支付时间</w:t>
      </w:r>
    </w:p>
    <w:p>
      <w:pPr>
        <w:keepNext w:val="0"/>
        <w:keepLines w:val="0"/>
        <w:kinsoku/>
        <w:wordWrap/>
        <w:overflowPunct/>
        <w:topLinePunct w:val="0"/>
        <w:autoSpaceDE/>
        <w:autoSpaceDN/>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上述款项在甲方</w:t>
      </w:r>
      <w:r>
        <w:rPr>
          <w:rFonts w:hint="eastAsia" w:ascii="仿宋_GB2312" w:hAnsi="仿宋_GB2312" w:eastAsia="仿宋_GB2312" w:cs="仿宋_GB2312"/>
          <w:sz w:val="24"/>
          <w:szCs w:val="24"/>
          <w:highlight w:val="none"/>
          <w:lang w:bidi="en-US"/>
        </w:rPr>
        <w:t>收到乙方的经甲方审批同意的支付申请及增值税专用发票、</w:t>
      </w:r>
      <w:r>
        <w:rPr>
          <w:rFonts w:hint="eastAsia" w:ascii="仿宋_GB2312" w:hAnsi="仿宋_GB2312" w:eastAsia="仿宋_GB2312" w:cs="仿宋_GB2312"/>
          <w:sz w:val="24"/>
          <w:szCs w:val="24"/>
          <w:highlight w:val="none"/>
        </w:rPr>
        <w:t>有效期内的履约担保复印件（如有）等相关资料后</w:t>
      </w:r>
      <w:r>
        <w:rPr>
          <w:rFonts w:hint="eastAsia" w:ascii="仿宋_GB2312" w:hAnsi="仿宋_GB2312" w:eastAsia="仿宋_GB2312" w:cs="仿宋_GB2312"/>
          <w:sz w:val="24"/>
          <w:szCs w:val="24"/>
          <w:highlight w:val="none"/>
          <w:lang w:bidi="en-US"/>
        </w:rPr>
        <w:t>28个工作日内支付。</w:t>
      </w:r>
    </w:p>
    <w:bookmarkEnd w:id="75"/>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第六条 合同变更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highlight w:val="none"/>
          <w:u w:val="single"/>
        </w:rPr>
        <w:t>14</w:t>
      </w:r>
      <w:r>
        <w:rPr>
          <w:rFonts w:hint="eastAsia" w:ascii="仿宋_GB2312" w:hAnsi="仿宋_GB2312" w:eastAsia="仿宋_GB2312" w:cs="仿宋_GB2312"/>
          <w:highlight w:val="none"/>
        </w:rPr>
        <w:t>日内予以答复；逾期未予答复的，视为同意。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u w:val="single"/>
        </w:rPr>
        <w:t>因发生不可抗力</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u w:val="single"/>
        </w:rPr>
        <w:t>上级部门有重大决策或明确指示将项目暂停或取消的</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第七条 咨询工作成果验收</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7.1乙方提交咨询工作成果的形式：</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7.2咨询工作成果的验收标准：</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7.3咨询工作成果的验收方法：</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第八条 违约责任及赔偿责任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8.1本合同生效后，因甲方原因要求终止或解除合同，当乙方实际完成工作量应付费用大于已付费用时，不足部分由甲方补齐。</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FF0000"/>
          <w:highlight w:val="none"/>
        </w:rPr>
      </w:pPr>
      <w:r>
        <w:rPr>
          <w:rFonts w:hint="eastAsia" w:ascii="仿宋_GB2312" w:hAnsi="仿宋_GB2312" w:eastAsia="仿宋_GB2312" w:cs="仿宋_GB2312"/>
          <w:highlight w:val="none"/>
        </w:rPr>
        <w:t>8.2本合同生效后，因乙方原因提前终止合同的，乙方应承担由此给甲方造成的损失，甲方有权没收乙方所交履约担保（如有），同时甲方有权要求乙方按签约酬金的20%交纳违约金。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8.3甲方按照乙方符合本合同约定标准和方式完成的咨询工作成果作出决策并予以实施所造的损失，乙方应承担全部责任。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8.4乙方违反本合同第三条规定，每延期一天，甲方有权要求乙方按签约酬金的万分之三支付违约金。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8.5乙方提交的咨询工作成果不符合合同约定要求的，甲方有权不再支付任何费用，且乙方应予退还甲方已经支付的费用；同时，甲方有权要求乙方支付签约酬金10%的违约金。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乙方在接到甲方发出的违约通知后，应按通知要求交纳违约金；否则，甲方有权暂停合同价款支付或从乙方的合同价款中扣除相应的违约金。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乙方应以现金或转账方式交纳违约金，甲方根据税法相关规定开具收款收据或增值税发票。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因乙方提供的发票导致甲方被税务部门追究相关法律责任的，乙方应承担由此给甲方造成的损失（包括但不限于未抵扣的税费、滞纳金）。</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第九条 知识产权及保密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9.1在本合同有效期内，甲方利用乙方提交的咨询工作成果所形成的知识产权，归</w:t>
      </w:r>
      <w:r>
        <w:rPr>
          <w:rFonts w:hint="eastAsia" w:ascii="仿宋_GB2312" w:hAnsi="仿宋_GB2312" w:eastAsia="仿宋_GB2312" w:cs="仿宋_GB2312"/>
          <w:highlight w:val="none"/>
          <w:u w:val="single"/>
        </w:rPr>
        <w:t xml:space="preserve"> 甲方 </w:t>
      </w:r>
      <w:r>
        <w:rPr>
          <w:rFonts w:hint="eastAsia" w:ascii="仿宋_GB2312" w:hAnsi="仿宋_GB2312" w:eastAsia="仿宋_GB2312" w:cs="仿宋_GB2312"/>
          <w:highlight w:val="none"/>
        </w:rPr>
        <w:t>所有。</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9.2在本合同有效期内，乙方利用甲方提供的技术资料和工作条件所形成的知识产权，归</w:t>
      </w:r>
      <w:r>
        <w:rPr>
          <w:rFonts w:hint="eastAsia" w:ascii="仿宋_GB2312" w:hAnsi="仿宋_GB2312" w:eastAsia="仿宋_GB2312" w:cs="仿宋_GB2312"/>
          <w:highlight w:val="none"/>
          <w:u w:val="single"/>
        </w:rPr>
        <w:t xml:space="preserve"> 双方 </w:t>
      </w:r>
      <w:r>
        <w:rPr>
          <w:rFonts w:hint="eastAsia" w:ascii="仿宋_GB2312" w:hAnsi="仿宋_GB2312" w:eastAsia="仿宋_GB2312" w:cs="仿宋_GB2312"/>
          <w:highlight w:val="none"/>
        </w:rPr>
        <w:t>所有。</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9.3除法律法规规定或合同另有约定外，未经甲方同意，乙方不得将甲方提供的图纸、文件、声明需要保密的资料信息以及本项目的成果文件等泄露给第三方。</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第十条 双方的项目联系人</w:t>
      </w:r>
    </w:p>
    <w:p>
      <w:pPr>
        <w:pStyle w:val="17"/>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10.1在本合同有效期内，甲乙双方以书面形式确定项目联系人。</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10.2一方变更项目联系人的，应当及时以书面形式通知另一方。未及时通知并影响本合同履行或造成损失的，应承担相应的责任。</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第十一条 合同解除</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11.1出现下列情形之一，致使本合同的履行成为不必要或不可能的，可以解除本合同：</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u w:val="single"/>
        </w:rPr>
        <w:t>发生不可抗力</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u w:val="single"/>
        </w:rPr>
        <w:t>上级部门有重大决策或明确指示将项目取消的</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（3）违约金总额超过合同签约酬金的20%，甲方有权解除合同。</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11.2任何一方提出解除合同的，应提前30天书面通知对方，违约方应赔偿由此给守约方造成的直接损失和间接损失。因不可抗力导致的合同解除，双方各自承担自身的损失。</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11.4合同解除后，本合同约定的有关结算、争议解决方式的条款仍然有效。</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第十二条 合同终止</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12.1 甲方、乙方履行合同全部义务，合同价款支付完毕，本合同即告终止。</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12.2合同的权利义务终止后，合同当事人应遵循诚实信用原则，履行通知、协助和保密等义务。</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第十三条 争议解决</w:t>
      </w:r>
    </w:p>
    <w:p>
      <w:pPr>
        <w:keepNext w:val="0"/>
        <w:keepLines w:val="0"/>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sz w:val="24"/>
          <w:highlight w:val="none"/>
          <w:u w:val="single"/>
        </w:rPr>
        <w:t>第（2）种</w:t>
      </w:r>
      <w:r>
        <w:rPr>
          <w:rFonts w:hint="eastAsia" w:ascii="仿宋_GB2312" w:hAnsi="仿宋_GB2312" w:eastAsia="仿宋_GB2312" w:cs="仿宋_GB2312"/>
          <w:sz w:val="24"/>
          <w:highlight w:val="none"/>
        </w:rPr>
        <w:t>方式解决：</w:t>
      </w:r>
    </w:p>
    <w:p>
      <w:pPr>
        <w:keepNext w:val="0"/>
        <w:keepLines w:val="0"/>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（1）向长沙仲裁委员会提请仲裁；</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szCs w:val="22"/>
          <w:highlight w:val="none"/>
        </w:rPr>
        <w:t>（2）向甲方所在地人民法院提起诉讼。</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第十四条 词语定义及解释</w:t>
      </w:r>
    </w:p>
    <w:p>
      <w:pPr>
        <w:keepNext w:val="0"/>
        <w:keepLines w:val="0"/>
        <w:kinsoku/>
        <w:wordWrap/>
        <w:overflowPunct/>
        <w:topLinePunct w:val="0"/>
        <w:autoSpaceDE/>
        <w:autoSpaceDN/>
        <w:bidi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.1“合同”是指甲乙双方签署的、合同格式中载明的甲乙双方所达成的协议，包括合同协议书、合同条款及合同附件、合同附录和上述文件所提到的构成合同的所有文件。</w:t>
      </w:r>
    </w:p>
    <w:p>
      <w:pPr>
        <w:keepNext w:val="0"/>
        <w:keepLines w:val="0"/>
        <w:kinsoku/>
        <w:wordWrap/>
        <w:overflowPunct/>
        <w:topLinePunct w:val="0"/>
        <w:autoSpaceDE/>
        <w:autoSpaceDN/>
        <w:bidi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.2“签约酬金”是指甲方和乙方在合同协议书中确定的金额，即本项目的中标价或中选价或成交价。</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.3“酬金”是指根据本合同规定乙方在正确地完全履行合同义务后，按照长沙市政府或其职能部门相关规定，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keepNext w:val="0"/>
        <w:keepLines w:val="0"/>
        <w:kinsoku/>
        <w:wordWrap/>
        <w:overflowPunct/>
        <w:topLinePunct w:val="0"/>
        <w:autoSpaceDE/>
        <w:autoSpaceDN/>
        <w:bidi w:val="0"/>
        <w:adjustRightInd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14.4“服务”是指根据本合同规定乙方在本项目中应承担所有工作和一切义务。</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14.5“甲方”是指委托服务的一方以及其合法继承人，即合同协议书中所述的甲方。</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14.6“乙方”是指承担服务的一方以及其合法继承人，即合同协议书中所述的乙方。</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14.7“现场”是指合同协议书中明确的履行服务的现场。</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14.8“日”是指任何一天零时至第二天零时的时间段。</w:t>
      </w:r>
    </w:p>
    <w:p>
      <w:pPr>
        <w:keepNext w:val="0"/>
        <w:keepLines w:val="0"/>
        <w:kinsoku/>
        <w:wordWrap/>
        <w:overflowPunct/>
        <w:topLinePunct w:val="0"/>
        <w:autoSpaceDE/>
        <w:autoSpaceDN/>
        <w:bidi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14.9“月”是指根据公历从一个月份中任何一天开始到下一个月相应日期的前一天的时间段。</w:t>
      </w:r>
    </w:p>
    <w:p>
      <w:pPr>
        <w:keepNext w:val="0"/>
        <w:keepLines w:val="0"/>
        <w:kinsoku/>
        <w:wordWrap/>
        <w:overflowPunct/>
        <w:topLinePunct w:val="0"/>
        <w:autoSpaceDE/>
        <w:autoSpaceDN/>
        <w:bidi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14.11“书面形式”是指合同书、信件和数据电文（包括电报、电传、传真、电子数据交换和电子邮件）等可以有形地表现所载内容的形式。</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14.12“不可抗力”是指甲方和乙方在订立本合同时不可预见，在合同履行过程中不可避免并不能克服的自然灾害和社会性突发事件，如地震、海啸、瘟疫、水灾、骚乱、暴动、战争等情形。</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14.13“履约验收”系指按照长沙市政府相关职能部门或长沙市轨道交通集团有限公司或长沙市轨道交通集团有限公司授权的单位制定的履约验收相关管理规定办理验收。</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第十五条 合同文件组成及优先顺序</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本合同文件组成及优先顺序为：</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（1）补充协议（如果有）；</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（2）合同协议书；</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）技术说明</w:t>
      </w:r>
      <w:r>
        <w:rPr>
          <w:rFonts w:ascii="仿宋_GB2312" w:hAnsi="仿宋_GB2312" w:eastAsia="仿宋_GB2312" w:cs="仿宋_GB2312"/>
          <w:sz w:val="24"/>
          <w:szCs w:val="24"/>
          <w:highlight w:val="none"/>
        </w:rPr>
        <w:t>及要求</w:t>
      </w:r>
      <w:r>
        <w:rPr>
          <w:rFonts w:hint="eastAsia" w:ascii="仿宋_GB2312" w:hAnsi="仿宋_GB2312" w:eastAsia="仿宋_GB2312" w:cs="仿宋_GB2312"/>
          <w:sz w:val="24"/>
          <w:szCs w:val="24"/>
          <w:highlight w:val="none"/>
        </w:rPr>
        <w:t>；</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rPr>
        <w:t xml:space="preserve">）签约酬金清单； </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）合同附件及乙方按合同附录格式及要求出具的文件；</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rPr>
        <w:t>）招标文件/自主竞争性谈判文件/直接委托谈判文件 、澄清与答疑文件及其它补充资料；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8</w:t>
      </w:r>
      <w:r>
        <w:rPr>
          <w:rFonts w:hint="eastAsia" w:ascii="仿宋_GB2312" w:hAnsi="仿宋_GB2312" w:eastAsia="仿宋_GB2312" w:cs="仿宋_GB2312"/>
          <w:sz w:val="24"/>
          <w:szCs w:val="24"/>
          <w:highlight w:val="none"/>
        </w:rPr>
        <w:t>）投标文件/谈判响应文件、澄清文件及其它补充资料；</w:t>
      </w:r>
    </w:p>
    <w:p>
      <w:pPr>
        <w:keepNext w:val="0"/>
        <w:keepLines w:val="0"/>
        <w:kinsoku/>
        <w:wordWrap/>
        <w:overflowPunct/>
        <w:topLinePunct w:val="0"/>
        <w:autoSpaceDE/>
        <w:autoSpaceDN/>
        <w:bidi w:val="0"/>
        <w:snapToGrid w:val="0"/>
        <w:spacing w:line="360" w:lineRule="auto"/>
        <w:ind w:firstLine="480" w:firstLineChars="200"/>
        <w:outlineLvl w:val="9"/>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rPr>
        <w:t>）其他构成本合同的文件。</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keepNext w:val="0"/>
        <w:keepLines w:val="0"/>
        <w:kinsoku/>
        <w:wordWrap/>
        <w:overflowPunct/>
        <w:topLinePunct w:val="0"/>
        <w:autoSpaceDE/>
        <w:autoSpaceDN/>
        <w:bidi w:val="0"/>
        <w:snapToGrid w:val="0"/>
        <w:spacing w:line="360" w:lineRule="auto"/>
        <w:ind w:firstLine="480" w:firstLineChars="200"/>
        <w:outlineLvl w:val="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在合同履行过程中形成的与合同有关的文件均构成合同文件组成部分，并根据其性质确定优先解释顺序。</w:t>
      </w:r>
    </w:p>
    <w:p>
      <w:pPr>
        <w:pStyle w:val="17"/>
        <w:keepNext w:val="0"/>
        <w:keepLines w:val="0"/>
        <w:kinsoku/>
        <w:wordWrap/>
        <w:overflowPunct/>
        <w:topLinePunct w:val="0"/>
        <w:autoSpaceDE/>
        <w:autoSpaceDN/>
        <w:bidi w:val="0"/>
        <w:snapToGrid w:val="0"/>
        <w:spacing w:line="360" w:lineRule="auto"/>
        <w:ind w:firstLine="482" w:firstLineChars="200"/>
        <w:outlineLvl w:val="9"/>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第十六条 不可抗力</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.1不可抗力的确认</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不可抗力发生后，合同当事人应收集证明不可抗力发生及不可抗力造成损失的证据，并及时认真统计所造成的损失。合同当事人对是否属于不可抗力或其损失发生争议时，按第十三条〔争议解决〕的约定处理。</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.2不可抗力的通知</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.3不可抗力后果的承担</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不可抗力引起的后果及造成的损失由合同当事人按照法律规定及合同约定各自承担。不可抗力发生前已完成的工作应当按照合同约定进行支付。</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不可抗力发生后，合同当事人均应采取措施尽量避免和减少损失的扩大，任何一方当事人没有采取有效措施导致损失扩大的，应对扩大的损失承担责任。</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因合同一方迟延履行合同义务，在迟延履行期间遭遇不可抗力的，不免除其违约责任。</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第十七条 履约担保</w:t>
      </w:r>
    </w:p>
    <w:p>
      <w:pPr>
        <w:keepNext w:val="0"/>
        <w:keepLines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17.1乙方</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需要</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□不需要</w:t>
      </w:r>
      <w:r>
        <w:rPr>
          <w:rFonts w:hint="eastAsia" w:ascii="仿宋_GB2312" w:hAnsi="仿宋_GB2312" w:eastAsia="仿宋_GB2312" w:cs="仿宋_GB2312"/>
          <w:sz w:val="24"/>
          <w:highlight w:val="none"/>
        </w:rPr>
        <w:t>提供履约担保。</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17.2如需要乙方提供履约担保，则：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1）履约担保用于补偿甲方因乙方不能完成其合同义务而蒙受的损失，是办理投标担保（如有）退还手续及合同价款支付手续的必要条件之一。</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2）乙方提供履约担保的形式、金额及期限可采用以下方式之一：</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a、采用银行履约保函形式，银行履约保函的担保额度为签约</w:t>
      </w:r>
      <w:r>
        <w:rPr>
          <w:rFonts w:hint="eastAsia" w:ascii="仿宋_GB2312" w:hAnsi="仿宋_GB2312" w:eastAsia="仿宋_GB2312" w:cs="仿宋_GB2312"/>
          <w:sz w:val="24"/>
          <w:szCs w:val="24"/>
          <w:highlight w:val="none"/>
          <w:u w:val="single"/>
        </w:rPr>
        <w:t>酬金</w:t>
      </w:r>
      <w:r>
        <w:rPr>
          <w:rFonts w:hint="eastAsia" w:ascii="仿宋_GB2312" w:hAnsi="仿宋_GB2312" w:eastAsia="仿宋_GB2312" w:cs="仿宋_GB2312"/>
          <w:sz w:val="24"/>
          <w:szCs w:val="24"/>
          <w:highlight w:val="none"/>
        </w:rPr>
        <w:t>的10%，担保期限为自保函生效之日起，至服务期满之日止。银行履约保函应为在中国境内注册和营业的银行出具的、以甲方为受益人首次申请即作为无条件付款的保函，银行履约保函格式具体详见合同附录。</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b、采用现金形式，现金担保额度为签约酬金的10%，担保期限为履约保证金到账之日起，至合同约定的服务期满之日止。履约担保以现金形式提交的，乙方应从其基本账户通过转帐或电汇至甲方指定的账户。</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3）如需提供履约担保，则乙方应确保提供的银行履约保函持续有效，在银行履约保函到期前1个月内办理好续保手续，并向甲方提供新的有效的银行履约保函。</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4)如需提供履约担保，合同履约未完成而履约担保到期的，乙方应在履约担保到期后的首次办理合同价款支付手续时提供有效的续保文件。</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）在乙方完成其合同义务包括任何保证义务后，甲方将把履约担保无息退还乙方。</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第十八条 法律适用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本合同适用中华人民共和国现行法律、行政法规和规章，如合同条款与法律、行政法规和规章不一致的，按照法律、行政法规和规章修改本合同。</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第十九条 通知</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19.1本合同一方给另一方的通知均应采用书面形式，传真或快递送到本合同中规定的对方的地址和办理签收手续</w:t>
      </w:r>
      <w:r>
        <w:rPr>
          <w:rFonts w:hint="eastAsia" w:ascii="仿宋_GB2312" w:hAnsi="仿宋_GB2312" w:eastAsia="仿宋_GB2312" w:cs="仿宋_GB2312"/>
          <w:highlight w:val="none"/>
          <w:lang w:eastAsia="zh-CN"/>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19.2通知以送到之日或通知书中规定的生效之日起生效，两者中以较迟之日为准。</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第二十条 其他约定</w:t>
      </w:r>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.1合同签订时间</w:t>
      </w:r>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本合同于</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日签订。</w:t>
      </w:r>
      <w:bookmarkStart w:id="76" w:name="_Toc406150419"/>
      <w:bookmarkStart w:id="77" w:name="_Toc457826148"/>
      <w:bookmarkStart w:id="78" w:name="_Toc351203490"/>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2合同签订地点</w:t>
      </w:r>
      <w:bookmarkEnd w:id="76"/>
      <w:bookmarkEnd w:id="77"/>
      <w:bookmarkEnd w:id="78"/>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本合同在</w:t>
      </w:r>
      <w:r>
        <w:rPr>
          <w:rFonts w:hint="eastAsia" w:ascii="仿宋_GB2312" w:hAnsi="仿宋_GB2312" w:eastAsia="仿宋_GB2312" w:cs="仿宋_GB2312"/>
          <w:bCs/>
          <w:sz w:val="24"/>
          <w:szCs w:val="24"/>
          <w:highlight w:val="none"/>
          <w:u w:val="single"/>
        </w:rPr>
        <w:t xml:space="preserve"> 湖南省长沙市雨花区 </w:t>
      </w:r>
      <w:r>
        <w:rPr>
          <w:rFonts w:hint="eastAsia" w:ascii="仿宋_GB2312" w:hAnsi="仿宋_GB2312" w:eastAsia="仿宋_GB2312" w:cs="仿宋_GB2312"/>
          <w:bCs/>
          <w:sz w:val="24"/>
          <w:szCs w:val="24"/>
          <w:highlight w:val="none"/>
        </w:rPr>
        <w:t>签订。</w:t>
      </w:r>
      <w:bookmarkStart w:id="79" w:name="_Toc406150420"/>
      <w:bookmarkStart w:id="80" w:name="_Toc457826149"/>
      <w:bookmarkStart w:id="81" w:name="_Toc351203492"/>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.3合同生效</w:t>
      </w:r>
      <w:bookmarkEnd w:id="79"/>
      <w:bookmarkEnd w:id="80"/>
      <w:bookmarkEnd w:id="81"/>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本合同自</w:t>
      </w:r>
      <w:r>
        <w:rPr>
          <w:rFonts w:hint="eastAsia" w:ascii="仿宋_GB2312" w:hAnsi="仿宋_GB2312" w:eastAsia="仿宋_GB2312" w:cs="仿宋_GB2312"/>
          <w:sz w:val="24"/>
          <w:szCs w:val="24"/>
          <w:highlight w:val="none"/>
          <w:u w:val="single"/>
        </w:rPr>
        <w:t>合同双方法定代表人或其授权代表签字并加盖合同专用章</w:t>
      </w:r>
      <w:r>
        <w:rPr>
          <w:rFonts w:hint="eastAsia" w:ascii="仿宋_GB2312" w:hAnsi="仿宋_GB2312" w:eastAsia="仿宋_GB2312" w:cs="仿宋_GB2312"/>
          <w:bCs/>
          <w:sz w:val="24"/>
          <w:szCs w:val="24"/>
          <w:highlight w:val="none"/>
        </w:rPr>
        <w:t>生效。</w:t>
      </w:r>
      <w:bookmarkStart w:id="82" w:name="_Toc457826150"/>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.4合同份数</w:t>
      </w:r>
      <w:bookmarkEnd w:id="82"/>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本合同一式十二份（其中正本二份、副本十份），甲方执八份（一正七副）、乙方执四份（一正三副）。合同正本和副本具有同等效力，当合同副本与正本之间存有差异时，以合同正本为准。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ascii="仿宋_GB2312" w:hAnsi="仿宋_GB2312" w:eastAsia="仿宋_GB2312" w:cs="仿宋_GB2312"/>
          <w:highlight w:val="none"/>
        </w:rPr>
        <w:t>20</w:t>
      </w:r>
      <w:r>
        <w:rPr>
          <w:rFonts w:hint="eastAsia" w:ascii="仿宋_GB2312" w:hAnsi="仿宋_GB2312" w:eastAsia="仿宋_GB2312" w:cs="仿宋_GB2312"/>
          <w:highlight w:val="none"/>
        </w:rPr>
        <w:t>.5甲乙双方约定的其他事项（本条约定与合同条款中其他约定不一致时，以本条为准）：</w:t>
      </w:r>
      <w:r>
        <w:rPr>
          <w:rFonts w:hint="eastAsia" w:ascii="仿宋_GB2312" w:hAnsi="仿宋_GB2312" w:eastAsia="仿宋_GB2312" w:cs="仿宋_GB2312"/>
          <w:highlight w:val="none"/>
          <w:u w:val="single"/>
        </w:rPr>
        <w:t>20.5.1第一部分合同协议书 第三条服务期限及进度要求 修改</w:t>
      </w:r>
      <w:r>
        <w:rPr>
          <w:rFonts w:hint="eastAsia" w:ascii="仿宋_GB2312" w:hAnsi="仿宋_GB2312" w:eastAsia="仿宋_GB2312" w:cs="仿宋_GB2312"/>
          <w:highlight w:val="none"/>
          <w:u w:val="single"/>
          <w:lang w:val="en-US" w:eastAsia="zh-CN"/>
        </w:rPr>
        <w:t>为“</w:t>
      </w:r>
      <w:r>
        <w:rPr>
          <w:rFonts w:hint="eastAsia" w:ascii="仿宋_GB2312" w:hAnsi="仿宋_GB2312" w:eastAsia="仿宋_GB2312" w:cs="仿宋_GB2312"/>
          <w:highlight w:val="none"/>
          <w:u w:val="single"/>
        </w:rPr>
        <w:t>与招采文件一致，各阶段进度应满足甲方咨询服务进度要求，具体实施中再根据甲方批准计划落实，总的进度要求以满足甲方要求为原则</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rPr>
        <w:t>20.5.2 第一部分合同协议书第四条 甲、乙双方的权利义务4.2 乙方的权利义务4.2.5修改为</w:t>
      </w:r>
      <w:r>
        <w:rPr>
          <w:rFonts w:hint="eastAsia" w:ascii="仿宋_GB2312" w:hAnsi="仿宋_GB2312" w:eastAsia="仿宋_GB2312" w:cs="仿宋_GB2312"/>
          <w:highlight w:val="none"/>
          <w:u w:val="single"/>
          <w:lang w:eastAsia="zh-CN"/>
        </w:rPr>
        <w:t>“</w:t>
      </w:r>
      <w:r>
        <w:rPr>
          <w:rFonts w:hint="eastAsia" w:ascii="仿宋_GB2312" w:hAnsi="仿宋_GB2312" w:eastAsia="仿宋_GB2312" w:cs="仿宋_GB2312"/>
          <w:highlight w:val="none"/>
          <w:u w:val="single"/>
        </w:rPr>
        <w:t>乙方应按照法律法规的要求购买其工作人员的相关保险并使保险合同在合同服务期内保持有效，并承担其工作人员现场工作期间所产生的一切费用</w:t>
      </w:r>
      <w:r>
        <w:rPr>
          <w:rFonts w:hint="eastAsia" w:ascii="仿宋_GB2312" w:hAnsi="仿宋_GB2312" w:eastAsia="仿宋_GB2312" w:cs="仿宋_GB2312"/>
          <w:highlight w:val="none"/>
          <w:u w:val="single"/>
          <w:lang w:eastAsia="zh-CN"/>
        </w:rPr>
        <w:t>”</w:t>
      </w:r>
      <w:r>
        <w:rPr>
          <w:rFonts w:hint="eastAsia" w:ascii="仿宋_GB2312" w:hAnsi="仿宋_GB2312" w:eastAsia="仿宋_GB2312" w:cs="仿宋_GB2312"/>
          <w:highlight w:val="none"/>
          <w:u w:val="singl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rPr>
        <w:t>20.5.3删除第一部分合同协议书第四条 甲、乙双方的权利义务4.2 乙方的权利义务4.2.8乙方应确保本合同约定的关键岗位人员应专职服务于本项目。</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lang w:val="en-US" w:eastAsia="zh-CN"/>
        </w:rPr>
        <w:t>20.5.4第一部分</w:t>
      </w:r>
      <w:r>
        <w:rPr>
          <w:rFonts w:hint="eastAsia" w:ascii="仿宋_GB2312" w:hAnsi="仿宋_GB2312" w:eastAsia="仿宋_GB2312" w:cs="仿宋_GB2312"/>
          <w:highlight w:val="none"/>
          <w:u w:val="single"/>
        </w:rPr>
        <w:t>第九条 知识产权及保密9.3修改为“在本合同有效期内以及期满以后，乙方对甲方提供的资料负有保密义务，除法律法规规定或合同另有约定外，未经甲方同意，乙方不得以任何形式将甲方提供的图纸、文件、声明需要保密的资料信息以及本项目的成果文件等向第三方泄露、披露、出卖等，也不得用于合同约定范围以外的其他用途。</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Fonts w:hint="eastAsia" w:ascii="仿宋_GB2312" w:hAnsi="仿宋_GB2312" w:eastAsia="仿宋_GB2312" w:cs="仿宋_GB2312"/>
          <w:kern w:val="2"/>
          <w:highlight w:val="none"/>
        </w:rPr>
      </w:pPr>
      <w:r>
        <w:rPr>
          <w:rFonts w:hint="eastAsia" w:ascii="仿宋_GB2312" w:hAnsi="仿宋_GB2312" w:eastAsia="仿宋_GB2312" w:cs="仿宋_GB2312"/>
          <w:highlight w:val="none"/>
          <w:u w:val="single"/>
          <w:lang w:val="en-US" w:eastAsia="zh-CN"/>
        </w:rPr>
        <w:t>20.5.5</w:t>
      </w:r>
      <w:r>
        <w:rPr>
          <w:rFonts w:hint="eastAsia" w:ascii="仿宋_GB2312" w:hAnsi="仿宋_GB2312" w:eastAsia="仿宋_GB2312" w:cs="仿宋_GB2312"/>
          <w:highlight w:val="none"/>
          <w:u w:val="single"/>
        </w:rPr>
        <w:t>本合同中甲方涉及多个签约主体，各签约主体根据签约合同价清单各自承担资金的支付、发票的收讫，互不承担连带责任。</w:t>
      </w:r>
      <w:r>
        <w:rPr>
          <w:rFonts w:hint="eastAsia" w:ascii="仿宋_GB2312" w:hAnsi="仿宋_GB2312" w:eastAsia="仿宋_GB2312" w:cs="仿宋_GB2312"/>
          <w:highlight w:val="none"/>
        </w:rPr>
        <w:br w:type="page"/>
      </w:r>
      <w:r>
        <w:rPr>
          <w:rFonts w:hint="eastAsia" w:ascii="仿宋_GB2312" w:hAnsi="仿宋_GB2312" w:eastAsia="仿宋_GB2312" w:cs="仿宋_GB2312"/>
          <w:kern w:val="2"/>
          <w:highlight w:val="none"/>
        </w:rPr>
        <w:t>（本页无正文）</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委托方（甲方）：(盖章)</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受托方（乙方）：（盖章）</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法定代表人或其授权代表：</w:t>
            </w:r>
          </w:p>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法定代表人或其授权代表：</w:t>
            </w:r>
          </w:p>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地址：</w:t>
            </w:r>
            <w:r>
              <w:rPr>
                <w:rFonts w:hint="eastAsia" w:ascii="仿宋_GB2312" w:hAnsi="仿宋_GB2312" w:eastAsia="仿宋_GB2312" w:cs="仿宋_GB2312"/>
                <w:sz w:val="24"/>
                <w:highlight w:val="none"/>
              </w:rPr>
              <w:t>湖南省长沙市雨花区杜花路166号</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邮编：</w:t>
            </w:r>
            <w:r>
              <w:rPr>
                <w:rFonts w:hint="eastAsia" w:ascii="仿宋_GB2312" w:hAnsi="仿宋_GB2312" w:eastAsia="仿宋_GB2312" w:cs="仿宋_GB2312"/>
                <w:sz w:val="24"/>
                <w:highlight w:val="none"/>
                <w:lang w:val="en-US" w:eastAsia="zh-CN"/>
              </w:rPr>
              <w:t>410000</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电话：</w:t>
            </w:r>
            <w:r>
              <w:rPr>
                <w:rFonts w:hint="eastAsia" w:ascii="仿宋_GB2312" w:hAnsi="仿宋_GB2312" w:eastAsia="仿宋_GB2312" w:cs="仿宋_GB2312"/>
                <w:sz w:val="24"/>
                <w:highlight w:val="none"/>
              </w:rPr>
              <w:t>0731-86852223</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传真：</w:t>
            </w:r>
            <w:r>
              <w:rPr>
                <w:rFonts w:hint="eastAsia" w:ascii="仿宋_GB2312" w:hAnsi="仿宋_GB2312" w:eastAsia="仿宋_GB2312" w:cs="仿宋_GB2312"/>
                <w:sz w:val="24"/>
                <w:highlight w:val="none"/>
                <w:lang w:val="en-US" w:eastAsia="zh-CN"/>
              </w:rPr>
              <w:t>/</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开户银行：</w:t>
            </w:r>
            <w:r>
              <w:rPr>
                <w:rFonts w:hint="eastAsia" w:ascii="仿宋_GB2312" w:hAnsi="仿宋_GB2312" w:eastAsia="仿宋_GB2312" w:cs="仿宋_GB2312"/>
                <w:sz w:val="24"/>
                <w:highlight w:val="none"/>
                <w:lang w:val="en-US" w:eastAsia="zh-CN"/>
              </w:rPr>
              <w:t>/</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账号：</w:t>
            </w:r>
            <w:r>
              <w:rPr>
                <w:rFonts w:hint="eastAsia" w:ascii="仿宋_GB2312" w:hAnsi="仿宋_GB2312" w:eastAsia="仿宋_GB2312" w:cs="仿宋_GB2312"/>
                <w:sz w:val="24"/>
                <w:highlight w:val="none"/>
                <w:lang w:val="en-US" w:eastAsia="zh-CN"/>
              </w:rPr>
              <w:t>/</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账号：</w:t>
            </w:r>
          </w:p>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时间：</w:t>
            </w:r>
          </w:p>
        </w:tc>
      </w:tr>
    </w:tbl>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highlight w:val="none"/>
        </w:rPr>
      </w:pP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highlight w:val="none"/>
        </w:rPr>
      </w:pPr>
    </w:p>
    <w:p>
      <w:pPr>
        <w:keepNext w:val="0"/>
        <w:keepLines w:val="0"/>
        <w:pageBreakBefore w:val="0"/>
        <w:tabs>
          <w:tab w:val="left" w:pos="2580"/>
          <w:tab w:val="center" w:pos="5121"/>
        </w:tabs>
        <w:kinsoku/>
        <w:wordWrap/>
        <w:overflowPunct/>
        <w:topLinePunct w:val="0"/>
        <w:autoSpaceDE/>
        <w:autoSpaceDN/>
        <w:bidi w:val="0"/>
        <w:snapToGrid w:val="0"/>
        <w:spacing w:line="360" w:lineRule="auto"/>
        <w:ind w:left="0" w:leftChars="0"/>
        <w:jc w:val="center"/>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br w:type="page"/>
      </w:r>
      <w:bookmarkStart w:id="83" w:name="_Toc501718834"/>
      <w:r>
        <w:rPr>
          <w:rFonts w:hint="eastAsia" w:ascii="仿宋_GB2312" w:hAnsi="仿宋_GB2312" w:eastAsia="仿宋_GB2312" w:cs="仿宋_GB2312"/>
          <w:b/>
          <w:bCs/>
          <w:highlight w:val="none"/>
        </w:rPr>
        <w:t>第二部分 合同附件</w:t>
      </w:r>
      <w:bookmarkEnd w:id="83"/>
    </w:p>
    <w:p>
      <w:pPr>
        <w:pStyle w:val="17"/>
        <w:keepNext w:val="0"/>
        <w:keepLines w:val="0"/>
        <w:pageBreakBefore w:val="0"/>
        <w:kinsoku/>
        <w:wordWrap/>
        <w:overflowPunct/>
        <w:topLinePunct w:val="0"/>
        <w:autoSpaceDE/>
        <w:autoSpaceDN/>
        <w:bidi w:val="0"/>
        <w:snapToGrid w:val="0"/>
        <w:spacing w:line="360" w:lineRule="auto"/>
        <w:ind w:left="0" w:leftChars="0" w:firstLine="0"/>
        <w:textAlignment w:val="auto"/>
        <w:outlineLvl w:val="9"/>
        <w:rPr>
          <w:rFonts w:hint="eastAsia" w:ascii="仿宋_GB2312" w:hAnsi="仿宋_GB2312" w:eastAsia="仿宋_GB2312" w:cs="仿宋_GB2312"/>
          <w:b/>
          <w:sz w:val="24"/>
          <w:highlight w:val="none"/>
        </w:rPr>
      </w:pPr>
      <w:bookmarkStart w:id="84" w:name="_Toc501718838"/>
      <w:bookmarkStart w:id="85" w:name="_Toc501718835"/>
      <w:r>
        <w:rPr>
          <w:rFonts w:hint="eastAsia" w:ascii="仿宋_GB2312" w:hAnsi="仿宋_GB2312" w:eastAsia="仿宋_GB2312" w:cs="仿宋_GB2312"/>
          <w:b/>
          <w:sz w:val="24"/>
          <w:highlight w:val="none"/>
        </w:rPr>
        <w:t>附件1 廉政协议</w:t>
      </w:r>
    </w:p>
    <w:p>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廉政协议</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bookmarkEnd w:id="84"/>
    <w:bookmarkEnd w:id="85"/>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长沙市轨道交通运营有限公司</w:t>
      </w:r>
    </w:p>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长沙市轨道交通四号线建设发展有限公司</w:t>
      </w:r>
    </w:p>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48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86" w:name="_Toc59900969"/>
      <w:bookmarkStart w:id="87" w:name="_Toc59896701"/>
      <w:r>
        <w:rPr>
          <w:rFonts w:hint="eastAsia" w:ascii="仿宋_GB2312" w:hAnsi="仿宋_GB2312" w:eastAsia="仿宋_GB2312" w:cs="仿宋_GB2312"/>
          <w:sz w:val="24"/>
          <w:highlight w:val="none"/>
        </w:rPr>
        <w:t xml:space="preserve">第一条 </w:t>
      </w:r>
      <w:bookmarkEnd w:id="86"/>
      <w:bookmarkEnd w:id="87"/>
      <w:r>
        <w:rPr>
          <w:rFonts w:hint="eastAsia" w:ascii="仿宋_GB2312" w:hAnsi="仿宋_GB2312" w:eastAsia="仿宋_GB2312" w:cs="仿宋_GB2312"/>
          <w:sz w:val="24"/>
          <w:highlight w:val="none"/>
        </w:rPr>
        <w:t>共同责任</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长沙市轨道交通2号线电客车首轮大修、4号线电客车首轮架修概算编制咨询服务项目</w:t>
      </w:r>
      <w:r>
        <w:rPr>
          <w:rFonts w:hint="eastAsia" w:ascii="仿宋_GB2312" w:hAnsi="仿宋_GB2312" w:eastAsia="仿宋_GB2312" w:cs="仿宋_GB2312"/>
          <w:sz w:val="24"/>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88" w:name="_Toc59900970"/>
      <w:bookmarkStart w:id="89" w:name="_Toc59896702"/>
      <w:r>
        <w:rPr>
          <w:rFonts w:hint="eastAsia" w:ascii="仿宋_GB2312" w:hAnsi="仿宋_GB2312" w:eastAsia="仿宋_GB2312" w:cs="仿宋_GB2312"/>
          <w:sz w:val="24"/>
          <w:highlight w:val="none"/>
        </w:rPr>
        <w:t>第三条 甲方的义务</w:t>
      </w:r>
      <w:bookmarkEnd w:id="88"/>
      <w:bookmarkEnd w:id="89"/>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90" w:name="_Toc59896703"/>
      <w:bookmarkStart w:id="91" w:name="_Toc59900971"/>
      <w:r>
        <w:rPr>
          <w:rFonts w:hint="eastAsia" w:ascii="仿宋_GB2312" w:hAnsi="仿宋_GB2312" w:eastAsia="仿宋_GB2312" w:cs="仿宋_GB2312"/>
          <w:sz w:val="24"/>
          <w:highlight w:val="none"/>
        </w:rPr>
        <w:t>第四条 乙方义务</w:t>
      </w:r>
      <w:bookmarkEnd w:id="90"/>
      <w:bookmarkEnd w:id="91"/>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sectPr>
          <w:footerReference r:id="rId10"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16"/>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pStyle w:val="16"/>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keepNext w:val="0"/>
        <w:keepLines w:val="0"/>
        <w:pageBreakBefore w:val="0"/>
        <w:kinsoku/>
        <w:wordWrap/>
        <w:overflowPunct/>
        <w:topLinePunct w:val="0"/>
        <w:autoSpaceDE/>
        <w:autoSpaceDN/>
        <w:bidi w:val="0"/>
        <w:adjustRightInd w:val="0"/>
        <w:snapToGrid w:val="0"/>
        <w:spacing w:line="360" w:lineRule="auto"/>
        <w:ind w:left="0" w:leftChars="0"/>
        <w:jc w:val="left"/>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jc w:val="left"/>
        <w:textAlignment w:val="auto"/>
        <w:outlineLvl w:val="9"/>
        <w:rPr>
          <w:rFonts w:hint="eastAsia" w:ascii="仿宋_GB2312" w:hAnsi="仿宋_GB2312" w:eastAsia="仿宋_GB2312" w:cs="仿宋_GB2312"/>
          <w:b/>
          <w:sz w:val="24"/>
          <w:highlight w:val="none"/>
        </w:rPr>
      </w:pPr>
    </w:p>
    <w:p>
      <w:pPr>
        <w:pStyle w:val="17"/>
        <w:keepNext w:val="0"/>
        <w:keepLines w:val="0"/>
        <w:pageBreakBefore w:val="0"/>
        <w:kinsoku/>
        <w:wordWrap/>
        <w:overflowPunct/>
        <w:topLinePunct w:val="0"/>
        <w:autoSpaceDE/>
        <w:autoSpaceDN/>
        <w:bidi w:val="0"/>
        <w:snapToGrid w:val="0"/>
        <w:spacing w:line="360" w:lineRule="auto"/>
        <w:ind w:left="0" w:leftChars="0" w:firstLine="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附件2 保密协议</w:t>
      </w:r>
    </w:p>
    <w:p>
      <w:pPr>
        <w:keepNext w:val="0"/>
        <w:keepLines w:val="0"/>
        <w:pageBreakBefore w:val="0"/>
        <w:widowControl/>
        <w:kinsoku/>
        <w:wordWrap/>
        <w:overflowPunct/>
        <w:topLinePunct w:val="0"/>
        <w:autoSpaceDE/>
        <w:autoSpaceDN/>
        <w:bidi w:val="0"/>
        <w:snapToGrid w:val="0"/>
        <w:spacing w:line="360" w:lineRule="auto"/>
        <w:ind w:left="0" w:leftChars="0"/>
        <w:jc w:val="center"/>
        <w:textAlignment w:val="auto"/>
        <w:outlineLvl w:val="9"/>
        <w:rPr>
          <w:rFonts w:hint="eastAsia" w:ascii="仿宋_GB2312" w:hAnsi="仿宋_GB2312" w:eastAsia="仿宋_GB2312" w:cs="仿宋_GB2312"/>
          <w:highlight w:val="none"/>
          <w:lang w:bidi="en-US"/>
        </w:rPr>
      </w:pPr>
      <w:r>
        <w:rPr>
          <w:rFonts w:hint="eastAsia" w:ascii="仿宋_GB2312" w:hAnsi="仿宋_GB2312" w:eastAsia="仿宋_GB2312" w:cs="仿宋_GB2312"/>
          <w:b/>
          <w:bCs/>
          <w:smallCaps/>
          <w:highlight w:val="none"/>
          <w:lang w:bidi="en-US"/>
        </w:rPr>
        <w:t>保密协议</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u w:val="single"/>
          <w:lang w:bidi="en-US"/>
        </w:rPr>
      </w:pPr>
      <w:r>
        <w:rPr>
          <w:rFonts w:hint="eastAsia" w:ascii="仿宋_GB2312" w:hAnsi="仿宋_GB2312" w:eastAsia="仿宋_GB2312" w:cs="仿宋_GB2312"/>
          <w:sz w:val="24"/>
          <w:szCs w:val="24"/>
          <w:highlight w:val="none"/>
          <w:lang w:bidi="en-US"/>
        </w:rPr>
        <w:t>甲方（全称）：</w:t>
      </w:r>
      <w:r>
        <w:rPr>
          <w:rFonts w:hint="eastAsia" w:ascii="仿宋_GB2312" w:hAnsi="仿宋_GB2312" w:eastAsia="仿宋_GB2312" w:cs="仿宋_GB2312"/>
          <w:sz w:val="24"/>
          <w:szCs w:val="24"/>
          <w:highlight w:val="none"/>
          <w:u w:val="single"/>
          <w:lang w:bidi="en-US"/>
        </w:rPr>
        <w:t>长沙市轨道交通运营有限公司</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u w:val="single"/>
          <w:lang w:bidi="en-US"/>
        </w:rPr>
      </w:pPr>
      <w:r>
        <w:rPr>
          <w:rFonts w:hint="eastAsia" w:ascii="仿宋_GB2312" w:hAnsi="仿宋_GB2312" w:eastAsia="仿宋_GB2312" w:cs="仿宋_GB2312"/>
          <w:sz w:val="24"/>
          <w:szCs w:val="24"/>
          <w:highlight w:val="none"/>
          <w:u w:val="single"/>
          <w:lang w:bidi="en-US"/>
        </w:rPr>
        <w:t>长沙市轨道交通四号线建设发展有限公司</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乙方（全称）：</w:t>
      </w:r>
      <w:r>
        <w:rPr>
          <w:rFonts w:hint="eastAsia" w:ascii="仿宋_GB2312" w:hAnsi="仿宋_GB2312" w:eastAsia="仿宋_GB2312" w:cs="仿宋_GB2312"/>
          <w:sz w:val="24"/>
          <w:szCs w:val="24"/>
          <w:highlight w:val="none"/>
          <w:u w:val="single"/>
          <w:lang w:bidi="en-US"/>
        </w:rPr>
        <w:t xml:space="preserve">                        </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鉴于甲方和乙方签订的</w:t>
      </w:r>
      <w:r>
        <w:rPr>
          <w:rFonts w:hint="eastAsia" w:ascii="仿宋_GB2312" w:hAnsi="仿宋_GB2312" w:eastAsia="仿宋_GB2312" w:cs="仿宋_GB2312"/>
          <w:sz w:val="24"/>
          <w:szCs w:val="24"/>
          <w:highlight w:val="none"/>
          <w:u w:val="single"/>
          <w:lang w:bidi="en-US"/>
        </w:rPr>
        <w:t>长沙市轨道交通2号线电客车首轮大修、4号线电客车首轮架修概算编制咨询服务项目</w:t>
      </w:r>
      <w:r>
        <w:rPr>
          <w:rFonts w:hint="eastAsia" w:ascii="仿宋_GB2312" w:hAnsi="仿宋_GB2312" w:eastAsia="仿宋_GB2312" w:cs="仿宋_GB2312"/>
          <w:sz w:val="24"/>
          <w:szCs w:val="24"/>
          <w:highlight w:val="none"/>
          <w:lang w:bidi="en-US"/>
        </w:rPr>
        <w:t>合同（以下简称主合同）在执行过程中，甲方需要向乙方提供相关资料、披露有关信息。为进一步明确乙方的保密义务，甲、乙双方特签订以下本协议。</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第一条 保密内容</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甲、乙双方确认，乙方应承担保密义务的内容为：</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3、其他事项：甲方依照法律规定和有关协议（包括与项目对方当事人以及其他项目当事人订立协议、合同）的约定要求乙方承担保密义务的其他事项。</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第二条 乙方的保密义务</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1、乙方应主动采取加密措施对上述第一条所列内容进行保密，防止不承担同等保密义务的任何第三者知悉及使用。</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2、乙方不得刺探或者以其他不正当手段（包括利用计算机进行检索、浏览、复制等）获取主合同及主合同执行过程中的甲方秘密。</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3、乙方不得向不承担同等保密义务的任何第三人披露上述第一条所列内容。</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4、乙方不得允许（包括出借、赠与、出租、转让等行为）或协助不承担同等保密义务的任何第三人使用上述第一条所列内容。</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5、不论因何种原因主合同终止后，乙方都不得利用上述第一条所列内容为其他与甲方有竞争关系的第三人提供服务或进行合作。</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7、乙方如发现上述第一条所列内容被泄露或者自己过失泄露秘密，应当采取有效措施防止泄密进一步扩大，并及时向甲方报告。</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第三条 保密期限</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sz w:val="24"/>
          <w:szCs w:val="24"/>
          <w:highlight w:val="none"/>
          <w:lang w:bidi="en-US"/>
        </w:rPr>
        <w:t>甲、乙双方确认，乙方的保密义务自本协议签订时开始，到甲方将上述第一条所列内容公开时止。乙方是否继续履行主合同，均不影响保密义务的承担。</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第四条 违约责任</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sz w:val="24"/>
          <w:szCs w:val="24"/>
          <w:highlight w:val="none"/>
          <w:lang w:bidi="en-US"/>
        </w:rPr>
        <w:t>人民币</w:t>
      </w:r>
      <w:r>
        <w:rPr>
          <w:rFonts w:hint="eastAsia" w:ascii="仿宋_GB2312" w:hAnsi="仿宋_GB2312" w:eastAsia="仿宋_GB2312" w:cs="仿宋_GB2312"/>
          <w:b/>
          <w:sz w:val="24"/>
          <w:szCs w:val="24"/>
          <w:highlight w:val="none"/>
          <w:u w:val="single"/>
          <w:lang w:bidi="en-US"/>
        </w:rPr>
        <w:t>1000</w:t>
      </w:r>
      <w:r>
        <w:rPr>
          <w:rFonts w:hint="eastAsia" w:ascii="仿宋_GB2312" w:hAnsi="仿宋_GB2312" w:eastAsia="仿宋_GB2312" w:cs="仿宋_GB2312"/>
          <w:b/>
          <w:sz w:val="24"/>
          <w:szCs w:val="24"/>
          <w:highlight w:val="none"/>
          <w:lang w:bidi="en-US"/>
        </w:rPr>
        <w:t>元</w:t>
      </w:r>
      <w:r>
        <w:rPr>
          <w:rFonts w:hint="eastAsia" w:ascii="仿宋_GB2312" w:hAnsi="仿宋_GB2312" w:eastAsia="仿宋_GB2312" w:cs="仿宋_GB2312"/>
          <w:sz w:val="24"/>
          <w:szCs w:val="24"/>
          <w:highlight w:val="none"/>
          <w:lang w:bidi="en-US"/>
        </w:rPr>
        <w:t>的违约金。</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2、因乙方未履行本协议第二条规定的保密义务，给甲方造成损失或严重后果的，每发生一次，乙方应承担以下赔偿责任：</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（1）甲方调查乙方的违反协议行为而发生的所有费用；</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（2）因乙方的违反协议行为给甲方造成的经济损失，损失赔偿金额为</w:t>
      </w:r>
      <w:r>
        <w:rPr>
          <w:rFonts w:hint="eastAsia" w:ascii="仿宋_GB2312" w:hAnsi="仿宋_GB2312" w:eastAsia="仿宋_GB2312" w:cs="仿宋_GB2312"/>
          <w:b/>
          <w:sz w:val="24"/>
          <w:szCs w:val="24"/>
          <w:highlight w:val="none"/>
          <w:lang w:bidi="en-US"/>
        </w:rPr>
        <w:t>主合同签约酬金的</w:t>
      </w:r>
      <w:r>
        <w:rPr>
          <w:rFonts w:hint="eastAsia" w:ascii="仿宋_GB2312" w:hAnsi="仿宋_GB2312" w:eastAsia="仿宋_GB2312" w:cs="仿宋_GB2312"/>
          <w:b/>
          <w:sz w:val="24"/>
          <w:szCs w:val="24"/>
          <w:highlight w:val="none"/>
          <w:u w:val="single"/>
          <w:lang w:bidi="en-US"/>
        </w:rPr>
        <w:t>1</w:t>
      </w:r>
      <w:r>
        <w:rPr>
          <w:rFonts w:hint="eastAsia" w:ascii="仿宋_GB2312" w:hAnsi="仿宋_GB2312" w:eastAsia="仿宋_GB2312" w:cs="仿宋_GB2312"/>
          <w:b/>
          <w:sz w:val="24"/>
          <w:szCs w:val="24"/>
          <w:highlight w:val="none"/>
          <w:lang w:bidi="en-US"/>
        </w:rPr>
        <w:t>％</w:t>
      </w:r>
      <w:r>
        <w:rPr>
          <w:rFonts w:hint="eastAsia" w:ascii="仿宋_GB2312" w:hAnsi="仿宋_GB2312" w:eastAsia="仿宋_GB2312" w:cs="仿宋_GB2312"/>
          <w:sz w:val="24"/>
          <w:szCs w:val="24"/>
          <w:highlight w:val="none"/>
          <w:lang w:bidi="en-US"/>
        </w:rPr>
        <w:t>（有证据证明甲方实际损失超过这一金额的，以甲方实际损失为准）。</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第五条 争议的解决</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sz w:val="24"/>
          <w:szCs w:val="24"/>
          <w:highlight w:val="none"/>
          <w:u w:val="single"/>
          <w:lang w:bidi="en-US"/>
        </w:rPr>
        <w:t>甲方所在地人民法院</w:t>
      </w:r>
      <w:r>
        <w:rPr>
          <w:rFonts w:hint="eastAsia" w:ascii="仿宋_GB2312" w:hAnsi="仿宋_GB2312" w:eastAsia="仿宋_GB2312" w:cs="仿宋_GB2312"/>
          <w:sz w:val="24"/>
          <w:szCs w:val="24"/>
          <w:highlight w:val="none"/>
          <w:lang w:bidi="en-US"/>
        </w:rPr>
        <w:t>提起诉讼。</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第六条 协议的效力和变更</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1、本协议自双方法定代表人或其授权代表签字并加盖公章后生效。</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2、任何对本协议所作的任何增补和修改，除非由双方合法指派的代表书面做出，否则视为无效或对双方均无约束力。</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br w:type="page"/>
      </w:r>
      <w:r>
        <w:rPr>
          <w:rFonts w:hint="eastAsia" w:ascii="仿宋_GB2312" w:hAnsi="仿宋_GB2312" w:eastAsia="仿宋_GB2312" w:cs="仿宋_GB2312"/>
          <w:sz w:val="24"/>
          <w:szCs w:val="24"/>
          <w:highlight w:val="none"/>
          <w:lang w:bidi="en-US"/>
        </w:rPr>
        <w:t>（本页无正文）</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p>
    <w:p>
      <w:pPr>
        <w:keepNext w:val="0"/>
        <w:keepLines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sz w:val="24"/>
          <w:szCs w:val="24"/>
          <w:highlight w:val="none"/>
          <w:lang w:bidi="en-US"/>
        </w:rPr>
      </w:pPr>
    </w:p>
    <w:p>
      <w:pPr>
        <w:keepNext w:val="0"/>
        <w:keepLines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sz w:val="24"/>
          <w:szCs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sz w:val="24"/>
                <w:szCs w:val="24"/>
                <w:highlight w:val="none"/>
              </w:rPr>
            </w:pPr>
            <w:bookmarkStart w:id="92" w:name="3"/>
            <w:bookmarkEnd w:id="92"/>
            <w:r>
              <w:rPr>
                <w:rFonts w:hint="eastAsia" w:ascii="仿宋_GB2312" w:hAnsi="仿宋_GB2312" w:eastAsia="仿宋_GB2312" w:cs="仿宋_GB2312"/>
                <w:sz w:val="24"/>
                <w:szCs w:val="24"/>
                <w:highlight w:val="none"/>
              </w:rPr>
              <w:t>甲方：(盖章)</w:t>
            </w: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法定代表人或其授权代表：（签字）</w:t>
            </w:r>
          </w:p>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时间：</w:t>
            </w: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时间：</w:t>
            </w:r>
          </w:p>
        </w:tc>
      </w:tr>
    </w:tbl>
    <w:p>
      <w:pPr>
        <w:keepNext w:val="0"/>
        <w:keepLines w:val="0"/>
        <w:widowControl/>
        <w:kinsoku/>
        <w:wordWrap/>
        <w:overflowPunct/>
        <w:topLinePunct w:val="0"/>
        <w:autoSpaceDE/>
        <w:autoSpaceDN/>
        <w:bidi w:val="0"/>
        <w:jc w:val="left"/>
        <w:outlineLvl w:val="9"/>
        <w:rPr>
          <w:rFonts w:hint="eastAsia" w:ascii="仿宋_GB2312" w:hAnsi="仿宋_GB2312" w:eastAsia="仿宋_GB2312" w:cs="仿宋_GB2312"/>
          <w:b/>
          <w:sz w:val="24"/>
          <w:highlight w:val="none"/>
        </w:rPr>
      </w:pPr>
    </w:p>
    <w:p>
      <w:pPr>
        <w:pStyle w:val="17"/>
        <w:keepNext w:val="0"/>
        <w:keepLines w:val="0"/>
        <w:pageBreakBefore/>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附件3 中标通知书/中选通知书/谈判记录表</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签约酬金清单</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bookmarkStart w:id="93" w:name="_Toc501718836"/>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项目关键岗位人员表</w:t>
      </w:r>
      <w:bookmarkEnd w:id="93"/>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澄清与答疑文件</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最高投标限价公示说明</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bookmarkStart w:id="94" w:name="_Toc501718837"/>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附件8 技术说明及要求</w:t>
      </w:r>
      <w:bookmarkEnd w:id="94"/>
    </w:p>
    <w:p>
      <w:pPr>
        <w:keepNext w:val="0"/>
        <w:keepLines w:val="0"/>
        <w:widowControl/>
        <w:kinsoku/>
        <w:wordWrap/>
        <w:overflowPunct/>
        <w:topLinePunct w:val="0"/>
        <w:autoSpaceDE/>
        <w:autoSpaceDN/>
        <w:bidi w:val="0"/>
        <w:jc w:val="left"/>
        <w:outlineLvl w:val="9"/>
        <w:rPr>
          <w:rFonts w:hint="eastAsia" w:ascii="仿宋_GB2312" w:hAnsi="仿宋_GB2312" w:eastAsia="仿宋_GB2312" w:cs="仿宋_GB2312"/>
          <w:b/>
          <w:kern w:val="2"/>
          <w:sz w:val="24"/>
          <w:szCs w:val="24"/>
          <w:highlight w:val="none"/>
        </w:rPr>
      </w:pPr>
      <w:r>
        <w:rPr>
          <w:rFonts w:hint="eastAsia" w:ascii="仿宋_GB2312" w:hAnsi="仿宋_GB2312" w:eastAsia="仿宋_GB2312" w:cs="仿宋_GB2312"/>
          <w:b/>
          <w:sz w:val="24"/>
          <w:highlight w:val="none"/>
        </w:rPr>
        <w:br w:type="page"/>
      </w: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center"/>
        <w:textAlignment w:val="auto"/>
        <w:outlineLvl w:val="9"/>
        <w:rPr>
          <w:rFonts w:hint="eastAsia" w:ascii="仿宋_GB2312" w:hAnsi="仿宋_GB2312" w:eastAsia="仿宋_GB2312" w:cs="仿宋_GB2312"/>
          <w:b/>
          <w:bCs/>
          <w:highlight w:val="none"/>
        </w:rPr>
      </w:pPr>
      <w:bookmarkStart w:id="95" w:name="_Toc494117897"/>
      <w:bookmarkStart w:id="96" w:name="_Toc499044865"/>
      <w:bookmarkStart w:id="97" w:name="_Toc492458579"/>
      <w:r>
        <w:rPr>
          <w:rFonts w:hint="eastAsia" w:ascii="仿宋_GB2312" w:hAnsi="仿宋_GB2312" w:eastAsia="仿宋_GB2312" w:cs="仿宋_GB2312"/>
          <w:b/>
          <w:bCs/>
          <w:highlight w:val="none"/>
        </w:rPr>
        <w:t>第三部分 合同附录</w:t>
      </w:r>
      <w:bookmarkEnd w:id="95"/>
      <w:bookmarkEnd w:id="96"/>
      <w:bookmarkEnd w:id="97"/>
    </w:p>
    <w:p>
      <w:pPr>
        <w:keepNext w:val="0"/>
        <w:keepLines w:val="0"/>
        <w:pageBreakBefore w:val="0"/>
        <w:kinsoku/>
        <w:wordWrap/>
        <w:overflowPunct/>
        <w:topLinePunct w:val="0"/>
        <w:autoSpaceDE/>
        <w:autoSpaceDN/>
        <w:bidi w:val="0"/>
        <w:snapToGrid w:val="0"/>
        <w:spacing w:beforeAutospacing="0" w:afterAutospacing="0" w:line="360" w:lineRule="auto"/>
        <w:ind w:left="0" w:leftChars="0"/>
        <w:textAlignment w:val="auto"/>
        <w:outlineLvl w:val="9"/>
        <w:rPr>
          <w:rFonts w:hint="eastAsia" w:ascii="仿宋_GB2312" w:hAnsi="仿宋_GB2312" w:eastAsia="仿宋_GB2312" w:cs="仿宋_GB2312"/>
          <w:b/>
          <w:sz w:val="24"/>
          <w:szCs w:val="24"/>
          <w:highlight w:val="none"/>
        </w:rPr>
      </w:pPr>
      <w:bookmarkStart w:id="98" w:name="_Toc499044867"/>
      <w:bookmarkStart w:id="99" w:name="_Toc492458581"/>
      <w:bookmarkStart w:id="100" w:name="_Toc494117899"/>
      <w:r>
        <w:rPr>
          <w:rFonts w:hint="eastAsia" w:ascii="仿宋_GB2312" w:hAnsi="仿宋_GB2312" w:eastAsia="仿宋_GB2312" w:cs="仿宋_GB2312"/>
          <w:b/>
          <w:sz w:val="24"/>
          <w:szCs w:val="24"/>
          <w:highlight w:val="none"/>
        </w:rPr>
        <w:t>附录1银行履约保函（格式）</w:t>
      </w:r>
      <w:bookmarkEnd w:id="98"/>
      <w:bookmarkEnd w:id="99"/>
      <w:bookmarkEnd w:id="100"/>
    </w:p>
    <w:p>
      <w:pPr>
        <w:keepNext w:val="0"/>
        <w:keepLines w:val="0"/>
        <w:pageBreakBefore w:val="0"/>
        <w:kinsoku/>
        <w:wordWrap/>
        <w:overflowPunct/>
        <w:topLinePunct w:val="0"/>
        <w:autoSpaceDE/>
        <w:autoSpaceDN/>
        <w:bidi w:val="0"/>
        <w:snapToGrid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                            保函编号：</w:t>
      </w: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银行履约保函</w:t>
      </w: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textAlignment w:val="auto"/>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hint="eastAsia" w:ascii="仿宋_GB2312" w:hAnsi="仿宋_GB2312" w:eastAsia="仿宋_GB2312" w:cs="仿宋_GB2312"/>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 我方愿意无条件地、不可撤销地就乙方履行与你方签订的合同，向你方提供以下见索即付担保：</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5、因本保函发生的纠纷，可由双方协商解决，协商不成的，任何一方均可提请在你方所在地人民法院起诉。</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03" w:firstLineChars="168"/>
        <w:textAlignment w:val="auto"/>
        <w:outlineLvl w:val="9"/>
        <w:rPr>
          <w:rFonts w:hint="eastAsia" w:ascii="仿宋_GB2312" w:hAnsi="仿宋_GB2312" w:eastAsia="仿宋_GB2312" w:cs="仿宋_GB2312"/>
          <w:sz w:val="24"/>
          <w:szCs w:val="20"/>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地址：</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邮政编码：</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电话：</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szCs w:val="20"/>
          <w:highlight w:val="none"/>
        </w:rPr>
        <w:t>时间：</w:t>
      </w:r>
      <w:r>
        <w:rPr>
          <w:rFonts w:ascii="仿宋_GB2312" w:hAnsi="仿宋_GB2312" w:eastAsia="仿宋_GB2312" w:cs="仿宋_GB2312"/>
          <w:sz w:val="24"/>
          <w:highlight w:val="none"/>
          <w:lang w:bidi="en-US"/>
        </w:rPr>
        <w:br w:type="page"/>
      </w: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第四部分  招标文件/自主竞争性谈判文件/直接委托谈判文件、澄清与答疑文件及其他补充资料（如有，另册）</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第五部分  投标文件/谈判响应文件、澄清文件及其他补充资料（如有，另册）</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textAlignment w:val="auto"/>
        <w:outlineLvl w:val="9"/>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ascii="仿宋_GB2312" w:hAnsi="仿宋_GB2312" w:eastAsia="仿宋_GB2312" w:cs="仿宋_GB2312"/>
          <w:b/>
          <w:bCs/>
          <w:spacing w:val="30"/>
          <w:sz w:val="28"/>
          <w:szCs w:val="28"/>
        </w:rPr>
        <w:sectPr>
          <w:footerReference r:id="rId11" w:type="default"/>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sz w:val="32"/>
          <w:szCs w:val="32"/>
        </w:rPr>
      </w:pPr>
      <w:bookmarkStart w:id="101" w:name="_Toc20370"/>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102"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101"/>
      <w:bookmarkEnd w:id="102"/>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7"/>
        <w:spacing w:line="360" w:lineRule="auto"/>
        <w:rPr>
          <w:rFonts w:hAnsi="宋体"/>
          <w:b/>
          <w:bCs/>
          <w:sz w:val="32"/>
          <w:szCs w:val="32"/>
        </w:rPr>
      </w:pPr>
    </w:p>
    <w:p>
      <w:pPr>
        <w:pStyle w:val="27"/>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rPr>
        <w:t>五、</w:t>
      </w:r>
      <w:r>
        <w:rPr>
          <w:rFonts w:hint="eastAsia" w:hAnsi="宋体"/>
          <w:bCs/>
          <w:szCs w:val="21"/>
        </w:rPr>
        <w:t>服务方案</w:t>
      </w:r>
    </w:p>
    <w:p>
      <w:pPr>
        <w:adjustRightInd w:val="0"/>
        <w:snapToGrid w:val="0"/>
        <w:spacing w:line="360" w:lineRule="auto"/>
        <w:rPr>
          <w:rFonts w:hint="eastAsia" w:ascii="宋体" w:hAnsi="宋体"/>
          <w:szCs w:val="21"/>
        </w:rPr>
      </w:pPr>
      <w:r>
        <w:rPr>
          <w:rFonts w:hint="eastAsia" w:ascii="宋体" w:hAnsi="宋体"/>
          <w:szCs w:val="21"/>
        </w:rPr>
        <w:t>六、报价一览表</w:t>
      </w:r>
    </w:p>
    <w:p>
      <w:pPr>
        <w:adjustRightInd w:val="0"/>
        <w:snapToGrid w:val="0"/>
        <w:spacing w:line="360" w:lineRule="auto"/>
        <w:rPr>
          <w:rFonts w:hint="default" w:ascii="宋体" w:hAnsi="宋体" w:cs="Times New Roman"/>
          <w:szCs w:val="21"/>
          <w:lang w:val="en-US" w:eastAsia="zh-CN"/>
        </w:rPr>
      </w:pPr>
      <w:r>
        <w:rPr>
          <w:rFonts w:hint="eastAsia" w:ascii="宋体" w:hAnsi="宋体" w:cs="Times New Roman"/>
          <w:szCs w:val="21"/>
          <w:lang w:val="en-US" w:eastAsia="zh-CN"/>
        </w:rPr>
        <w:t>七、分项价格表</w:t>
      </w:r>
    </w:p>
    <w:p>
      <w:pPr>
        <w:adjustRightInd w:val="0"/>
        <w:snapToGrid w:val="0"/>
        <w:spacing w:line="360" w:lineRule="auto"/>
        <w:rPr>
          <w:rFonts w:hint="eastAsia"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03" w:name="_Toc32569"/>
      <w:bookmarkStart w:id="104" w:name="_Toc7657"/>
      <w:bookmarkStart w:id="105" w:name="_Toc14530"/>
      <w:bookmarkStart w:id="106" w:name="_Toc32600"/>
      <w:bookmarkStart w:id="107" w:name="_Toc24708"/>
      <w:r>
        <w:rPr>
          <w:rFonts w:hint="eastAsia" w:ascii="宋体" w:hAnsi="宋体" w:cs="宋体"/>
          <w:b/>
          <w:sz w:val="32"/>
          <w:szCs w:val="32"/>
        </w:rPr>
        <w:t>一、谈判承诺书</w:t>
      </w:r>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highlight w:val="none"/>
        </w:rPr>
      </w:pPr>
      <w:r>
        <w:rPr>
          <w:rFonts w:hint="eastAsia" w:ascii="宋体" w:hAnsi="宋体"/>
          <w:szCs w:val="21"/>
        </w:rPr>
        <w:t>致</w:t>
      </w:r>
      <w:r>
        <w:rPr>
          <w:rFonts w:hint="eastAsia" w:ascii="宋体" w:hAnsi="宋体" w:eastAsia="宋体" w:cs="宋体"/>
          <w:kern w:val="2"/>
          <w:sz w:val="21"/>
          <w:szCs w:val="24"/>
          <w:highlight w:val="none"/>
          <w:u w:val="single"/>
          <w:lang w:val="en-US" w:eastAsia="zh-CN" w:bidi="ar-SA"/>
        </w:rPr>
        <w:t>长沙市轨道交通运营有限公司、长沙市轨道交通四号线建设发展有限公司</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highlight w:val="none"/>
        </w:rPr>
        <w:t>我方已仔细研究了</w:t>
      </w:r>
      <w:r>
        <w:rPr>
          <w:rFonts w:hint="eastAsia" w:ascii="宋体" w:hAnsi="宋体" w:cs="宋体"/>
          <w:highlight w:val="none"/>
          <w:u w:val="single"/>
          <w:lang w:val="en-US" w:eastAsia="zh-CN"/>
        </w:rPr>
        <w:t>长沙市轨道交通2号线电客车首轮大修、4号线电客车首轮架修概算编制咨询服务项目</w:t>
      </w:r>
      <w:r>
        <w:rPr>
          <w:rFonts w:hint="eastAsia" w:ascii="宋体" w:hAnsi="宋体"/>
          <w:szCs w:val="21"/>
          <w:highlight w:val="none"/>
        </w:rPr>
        <w:t>的竞争性谈判文件（谈判项目编号：</w:t>
      </w:r>
      <w:r>
        <w:rPr>
          <w:rStyle w:val="56"/>
          <w:rFonts w:hint="eastAsia"/>
          <w:color w:val="auto"/>
          <w:kern w:val="0"/>
          <w:highlight w:val="none"/>
          <w:u w:val="single"/>
          <w:shd w:val="clear" w:color="auto" w:fill="FFFFFF"/>
        </w:rPr>
        <w:t>长轨运服采【202</w:t>
      </w:r>
      <w:r>
        <w:rPr>
          <w:rStyle w:val="56"/>
          <w:rFonts w:hint="eastAsia"/>
          <w:color w:val="auto"/>
          <w:kern w:val="0"/>
          <w:highlight w:val="none"/>
          <w:u w:val="single"/>
          <w:shd w:val="clear" w:color="auto" w:fill="FFFFFF"/>
          <w:lang w:val="en-US" w:eastAsia="zh-CN"/>
        </w:rPr>
        <w:t>3</w:t>
      </w:r>
      <w:r>
        <w:rPr>
          <w:rStyle w:val="56"/>
          <w:rFonts w:hint="eastAsia"/>
          <w:color w:val="auto"/>
          <w:kern w:val="0"/>
          <w:highlight w:val="none"/>
          <w:u w:val="single"/>
          <w:shd w:val="clear" w:color="auto" w:fill="FFFFFF"/>
        </w:rPr>
        <w:t>】</w:t>
      </w:r>
      <w:r>
        <w:rPr>
          <w:rStyle w:val="56"/>
          <w:rFonts w:hint="eastAsia"/>
          <w:color w:val="auto"/>
          <w:kern w:val="0"/>
          <w:highlight w:val="none"/>
          <w:u w:val="single"/>
          <w:shd w:val="clear" w:color="auto" w:fill="FFFFFF"/>
          <w:lang w:val="en-US" w:eastAsia="zh-CN"/>
        </w:rPr>
        <w:t>001</w:t>
      </w:r>
      <w:r>
        <w:rPr>
          <w:rStyle w:val="56"/>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rPr>
          <w:rFonts w:hAnsi="宋体"/>
        </w:rPr>
      </w:pPr>
      <w:r>
        <w:rPr>
          <w:rFonts w:hint="eastAsia"/>
        </w:rPr>
        <w:t>参与本项目竞争性谈判活动系本公司自愿行为。</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我方同意在谈判文件中规定的提交响应文件截止时间起</w:t>
      </w:r>
      <w:r>
        <w:rPr>
          <w:rFonts w:hint="eastAsia"/>
          <w:u w:val="single"/>
        </w:rPr>
        <w:t>180</w:t>
      </w:r>
      <w:r>
        <w:rPr>
          <w:rFonts w:hint="eastAsia"/>
        </w:rPr>
        <w:t>日历天内(响应文件有效期)遵守本响应文件中的承诺且在此期限期满之前均具有法律约束力。</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遵守贵司各项管理制度和谈判现场纪律，服从现场工作人员管理，自觉维护贵司谈判活动秩序。</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保证没有组织、参与围标、串标行为。</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不与</w:t>
      </w:r>
      <w:r>
        <w:rPr>
          <w:rFonts w:hint="eastAsia"/>
          <w:highlight w:val="none"/>
        </w:rPr>
        <w:t>采购单位</w:t>
      </w:r>
      <w:r>
        <w:rPr>
          <w:rFonts w:hint="eastAsia"/>
        </w:rPr>
        <w:t>或谈判评审小组成员私下联络和串通以牟取中选；不以他人名义参与谈判或者以其他方式弄虚作假骗取中选；不在谈判结束后进行虚假、恶意质疑和投诉。</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我方承诺，若贵方需要，我方愿意提供任何与本次谈判有关的数据、情况和技术资料。</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我方承诺遵守相关法律法规及贵司的有关规定，保证在获得成交资格后，按照谈判文件确定的事项签订合同，履行双方所签订的合同，并承担合同规定的责任和义务。</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我方承诺在参与本次竞争性谈判过程中，若出现本文件</w:t>
      </w:r>
      <w:r>
        <w:rPr>
          <w:rFonts w:hint="eastAsia"/>
          <w:b/>
          <w:bCs/>
        </w:rPr>
        <w:t>谈判须知正文</w:t>
      </w:r>
      <w:r>
        <w:rPr>
          <w:rFonts w:hint="eastAsia"/>
        </w:rPr>
        <w:t>第26条规定之情形，我方无条件接受条款规定作出的处罚。</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我方承诺完全响应本文件第四章“用户需求书”及第六章“合同格式条款”内的全部内容。</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如有违反本承诺书内容的行为，愿意承担由此产生的法律责任及后果。</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108" w:name="_Toc10496"/>
      <w:bookmarkStart w:id="109" w:name="_Toc31277"/>
      <w:bookmarkStart w:id="110" w:name="_Toc1313"/>
      <w:bookmarkStart w:id="111" w:name="_Toc24556"/>
      <w:bookmarkStart w:id="112" w:name="_Toc3026"/>
      <w:r>
        <w:rPr>
          <w:rFonts w:hint="eastAsia" w:ascii="宋体" w:hAnsi="宋体" w:cs="宋体"/>
          <w:b/>
          <w:sz w:val="32"/>
          <w:szCs w:val="32"/>
        </w:rPr>
        <w:t>二、法定代表人身份证明书</w:t>
      </w:r>
      <w:bookmarkEnd w:id="108"/>
      <w:bookmarkEnd w:id="109"/>
      <w:bookmarkEnd w:id="110"/>
      <w:bookmarkEnd w:id="111"/>
      <w:bookmarkEnd w:id="112"/>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谈判单位</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0048;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5408;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13" w:name="_Toc761"/>
      <w:bookmarkStart w:id="114" w:name="_Toc21066"/>
      <w:bookmarkStart w:id="115" w:name="_Toc14170"/>
      <w:bookmarkStart w:id="116" w:name="_Toc27642"/>
      <w:bookmarkStart w:id="117" w:name="_Toc29865"/>
      <w:r>
        <w:rPr>
          <w:rFonts w:hint="eastAsia" w:ascii="宋体" w:hAnsi="宋体" w:cs="宋体"/>
          <w:b/>
          <w:sz w:val="32"/>
          <w:szCs w:val="32"/>
        </w:rPr>
        <w:t>三、授权委托书</w:t>
      </w:r>
      <w:bookmarkEnd w:id="113"/>
      <w:bookmarkEnd w:id="114"/>
      <w:bookmarkEnd w:id="115"/>
      <w:bookmarkEnd w:id="116"/>
      <w:bookmarkEnd w:id="117"/>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pStyle w:val="16"/>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2"/>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5168;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4384;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4144;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6"/>
        <w:ind w:left="0" w:leftChars="0"/>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pgNumType w:fmt="decimal"/>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118" w:name="_Toc2295"/>
      <w:bookmarkStart w:id="119" w:name="_Toc11357"/>
      <w:bookmarkStart w:id="120" w:name="_Toc18944"/>
      <w:bookmarkStart w:id="121" w:name="_Toc8191"/>
      <w:bookmarkStart w:id="122" w:name="_Toc16519"/>
      <w:r>
        <w:rPr>
          <w:rFonts w:hint="eastAsia" w:ascii="宋体" w:hAnsi="宋体" w:cs="宋体"/>
          <w:b/>
          <w:sz w:val="32"/>
          <w:szCs w:val="32"/>
        </w:rPr>
        <w:t>四、谈判单位资格证明文件</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仿宋" w:hAnsi="仿宋" w:eastAsia="仿宋"/>
          <w:bCs/>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Cs/>
          <w:szCs w:val="21"/>
          <w:highlight w:val="cyan"/>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Style w:val="56"/>
          <w:rFonts w:hint="eastAsia"/>
          <w:b/>
          <w:bCs/>
          <w:color w:val="auto"/>
          <w:u w:val="none"/>
          <w:shd w:val="clear" w:color="auto" w:fill="FFFFFF"/>
        </w:rPr>
        <w:t>原件扫描件打印版</w:t>
      </w:r>
      <w:r>
        <w:rPr>
          <w:rFonts w:hint="eastAsia" w:ascii="宋体" w:hAnsi="宋体"/>
          <w:bCs/>
          <w:szCs w:val="21"/>
        </w:rPr>
        <w:t>：</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提供谈判单位营业执照/事业单位法人证书</w:t>
      </w:r>
      <w:r>
        <w:rPr>
          <w:rFonts w:hint="eastAsia" w:ascii="宋体" w:hAnsi="宋体" w:cs="宋体"/>
          <w:color w:val="000000"/>
          <w:lang w:eastAsia="zh-CN"/>
        </w:rPr>
        <w:t>，</w:t>
      </w:r>
      <w:r>
        <w:rPr>
          <w:rFonts w:hint="eastAsia" w:ascii="宋体" w:hAnsi="宋体" w:cs="宋体"/>
          <w:color w:val="000000"/>
          <w:highlight w:val="none"/>
          <w:lang w:eastAsia="zh-CN"/>
        </w:rPr>
        <w:t>且在有效期内。</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提供在本项目谈判截止之日前</w:t>
      </w:r>
      <w:r>
        <w:rPr>
          <w:rFonts w:hint="eastAsia" w:ascii="宋体" w:hAnsi="宋体" w:cs="宋体"/>
          <w:color w:val="000000"/>
          <w:highlight w:val="none"/>
          <w:lang w:val="en-US" w:eastAsia="zh-CN"/>
        </w:rPr>
        <w:t>36个月内的造价咨询业绩。不接受联合体业绩、港澳台或境外业绩。</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业绩证明材料以同时提供的合同原件扫描件和可查验的增值税发票（开票金额不少于合同金额的10%）原件扫描件为准（均须加盖谈判单位公章），时间以合同中甲方签订时间为准。</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提供项目负责人</w:t>
      </w:r>
      <w:r>
        <w:rPr>
          <w:rFonts w:hint="eastAsia" w:ascii="宋体" w:hAnsi="宋体" w:eastAsia="宋体" w:cs="宋体"/>
          <w:sz w:val="21"/>
          <w:szCs w:val="21"/>
          <w:highlight w:val="none"/>
          <w:lang w:val="en-US" w:eastAsia="zh-CN"/>
        </w:rPr>
        <w:t>在本项目谈判截止之日前36个月内至少1项类似项目业绩，提供注册咨询师或注册监理工程师或注册设备监理师执业证书，且证书合格、有效。</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须提供</w:t>
      </w:r>
      <w:r>
        <w:rPr>
          <w:rFonts w:hint="eastAsia" w:ascii="宋体" w:hAnsi="宋体" w:eastAsia="宋体" w:cs="宋体"/>
          <w:sz w:val="21"/>
          <w:szCs w:val="21"/>
          <w:highlight w:val="none"/>
          <w:lang w:eastAsia="zh-CN"/>
        </w:rPr>
        <w:t>专业人员</w:t>
      </w:r>
      <w:r>
        <w:rPr>
          <w:rFonts w:hint="eastAsia" w:ascii="宋体" w:hAnsi="宋体" w:eastAsia="宋体" w:cs="宋体"/>
          <w:color w:val="000000"/>
          <w:lang w:val="en-US" w:eastAsia="zh-CN"/>
        </w:rPr>
        <w:t>中级工程师证（车辆方向）及以上，且证书合格、有效。</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s="宋体"/>
        </w:rPr>
      </w:pPr>
      <w:r>
        <w:rPr>
          <w:rFonts w:hint="eastAsia" w:ascii="宋体" w:hAnsi="宋体" w:cs="宋体"/>
          <w:lang w:val="en-US" w:eastAsia="zh-CN"/>
        </w:rPr>
        <w:t>5</w:t>
      </w:r>
      <w:r>
        <w:rPr>
          <w:rFonts w:hint="eastAsia" w:ascii="宋体" w:hAnsi="宋体" w:cs="宋体"/>
        </w:rPr>
        <w:t>.谈判单位认为与本项目资格条件有关的其它证明文件（如有，格式自拟）。</w:t>
      </w:r>
    </w:p>
    <w:p>
      <w:pPr>
        <w:pStyle w:val="16"/>
        <w:keepNext w:val="0"/>
        <w:keepLines w:val="0"/>
        <w:pageBreakBefore w:val="0"/>
        <w:widowControl w:val="0"/>
        <w:kinsoku/>
        <w:wordWrap/>
        <w:overflowPunct/>
        <w:topLinePunct w:val="0"/>
        <w:autoSpaceDE/>
        <w:autoSpaceDN/>
        <w:bidi w:val="0"/>
        <w:spacing w:line="360" w:lineRule="auto"/>
        <w:ind w:left="0" w:leftChars="0"/>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bCs/>
          <w:szCs w:val="21"/>
        </w:rPr>
      </w:pPr>
      <w:r>
        <w:rPr>
          <w:rFonts w:hint="eastAsia" w:ascii="宋体" w:hAnsi="宋体"/>
          <w:b/>
          <w:bCs/>
          <w:szCs w:val="21"/>
        </w:rPr>
        <w:t>备注：上述证明文件扫描件打印版均须加盖谈判单位公章。</w:t>
      </w:r>
    </w:p>
    <w:p>
      <w:pPr>
        <w:pStyle w:val="16"/>
        <w:keepNext w:val="0"/>
        <w:keepLines w:val="0"/>
        <w:pageBreakBefore w:val="0"/>
        <w:widowControl w:val="0"/>
        <w:kinsoku/>
        <w:wordWrap/>
        <w:overflowPunct/>
        <w:topLinePunct w:val="0"/>
        <w:autoSpaceDE/>
        <w:autoSpaceDN/>
        <w:bidi w:val="0"/>
        <w:spacing w:line="360" w:lineRule="auto"/>
        <w:ind w:left="0" w:leftChars="0"/>
        <w:textAlignment w:val="auto"/>
      </w:pPr>
    </w:p>
    <w:p/>
    <w:p>
      <w:pPr>
        <w:pStyle w:val="2"/>
      </w:pPr>
    </w:p>
    <w:p>
      <w:pPr>
        <w:pStyle w:val="2"/>
        <w:sectPr>
          <w:pgSz w:w="11906" w:h="16838"/>
          <w:pgMar w:top="2098" w:right="1474" w:bottom="1984" w:left="1587" w:header="851" w:footer="992" w:gutter="0"/>
          <w:pgNumType w:fmt="decimal"/>
          <w:cols w:space="720" w:num="1"/>
          <w:docGrid w:type="lines" w:linePitch="319"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业绩合同扫描件</w:t>
      </w:r>
    </w:p>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6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470" w:type="dxa"/>
            <w:tcBorders>
              <w:left w:val="single" w:color="auto" w:sz="8" w:space="0"/>
              <w:right w:val="single" w:color="auto" w:sz="8" w:space="0"/>
            </w:tcBorders>
            <w:vAlign w:val="center"/>
          </w:tcPr>
          <w:p>
            <w:pPr>
              <w:jc w:val="center"/>
              <w:rPr>
                <w:rFonts w:hint="eastAsia" w:hAnsi="宋体" w:cs="宋体"/>
                <w:b/>
                <w:bCs/>
                <w:szCs w:val="21"/>
              </w:rPr>
            </w:pPr>
            <w:r>
              <w:rPr>
                <w:rFonts w:hint="eastAsia" w:hAnsi="宋体" w:cs="宋体"/>
                <w:b/>
                <w:bCs/>
                <w:szCs w:val="21"/>
              </w:rPr>
              <w:t>合同金额</w:t>
            </w:r>
          </w:p>
          <w:p>
            <w:pPr>
              <w:jc w:val="center"/>
              <w:rPr>
                <w:rFonts w:hAnsi="宋体" w:cs="宋体"/>
                <w:b/>
                <w:bCs/>
                <w:szCs w:val="21"/>
              </w:rPr>
            </w:pPr>
            <w:r>
              <w:rPr>
                <w:rFonts w:hint="eastAsia" w:hAnsi="宋体" w:cs="宋体"/>
                <w:b/>
                <w:bCs/>
                <w:szCs w:val="21"/>
              </w:rPr>
              <w:t>（总金额）</w:t>
            </w:r>
          </w:p>
        </w:tc>
        <w:tc>
          <w:tcPr>
            <w:tcW w:w="13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服务期限</w:t>
            </w:r>
          </w:p>
        </w:tc>
        <w:tc>
          <w:tcPr>
            <w:tcW w:w="15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p>
      <w:r>
        <w:rPr>
          <w:rStyle w:val="56"/>
          <w:color w:val="auto"/>
          <w:u w:val="none"/>
          <w:shd w:val="clear" w:color="auto" w:fill="FFFFFF"/>
        </w:rPr>
        <w:t>业绩</w:t>
      </w:r>
      <w:r>
        <w:rPr>
          <w:rStyle w:val="56"/>
          <w:rFonts w:hint="eastAsia"/>
          <w:color w:val="auto"/>
          <w:u w:val="none"/>
          <w:shd w:val="clear" w:color="auto" w:fill="FFFFFF"/>
        </w:rPr>
        <w:t>合同</w:t>
      </w:r>
      <w:r>
        <w:rPr>
          <w:rStyle w:val="56"/>
          <w:color w:val="auto"/>
          <w:u w:val="none"/>
          <w:shd w:val="clear" w:color="auto" w:fill="FFFFFF"/>
        </w:rPr>
        <w:t>证明材料</w:t>
      </w:r>
      <w:r>
        <w:rPr>
          <w:rStyle w:val="56"/>
          <w:rFonts w:hint="eastAsia"/>
          <w:color w:val="auto"/>
          <w:u w:val="none"/>
          <w:shd w:val="clear" w:color="auto" w:fill="FFFFFF"/>
        </w:rPr>
        <w:t>须为</w:t>
      </w:r>
      <w:r>
        <w:rPr>
          <w:rStyle w:val="56"/>
          <w:color w:val="auto"/>
          <w:u w:val="none"/>
          <w:shd w:val="clear" w:color="auto" w:fill="FFFFFF"/>
        </w:rPr>
        <w:t>合同</w:t>
      </w:r>
      <w:r>
        <w:rPr>
          <w:rStyle w:val="56"/>
          <w:rFonts w:hint="eastAsia"/>
          <w:color w:val="auto"/>
          <w:u w:val="none"/>
          <w:shd w:val="clear" w:color="auto" w:fill="FFFFFF"/>
        </w:rPr>
        <w:t>原件扫描件打印版，并按顺序附后。</w:t>
      </w:r>
    </w:p>
    <w:p/>
    <w:p>
      <w:pPr>
        <w:pStyle w:val="2"/>
        <w:ind w:left="0" w:leftChars="0" w:firstLine="0"/>
      </w:pPr>
    </w:p>
    <w:p>
      <w:pPr>
        <w:pStyle w:val="2"/>
        <w:ind w:left="0" w:leftChars="0" w:firstLine="0"/>
      </w:pPr>
    </w:p>
    <w:p>
      <w:pPr>
        <w:pStyle w:val="16"/>
        <w:rPr>
          <w:color w:val="FF0000"/>
          <w:highlight w:val="cya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23" w:name="_Toc30403"/>
      <w:bookmarkStart w:id="124" w:name="_Toc13791"/>
      <w:bookmarkStart w:id="125" w:name="_Toc7528"/>
      <w:bookmarkStart w:id="126" w:name="_Toc20484"/>
      <w:bookmarkStart w:id="127" w:name="_Toc9230"/>
      <w:r>
        <w:rPr>
          <w:rFonts w:hint="eastAsia" w:ascii="宋体" w:hAnsi="宋体" w:cs="宋体"/>
          <w:b/>
          <w:sz w:val="32"/>
          <w:szCs w:val="32"/>
        </w:rPr>
        <w:t>五、服务方案</w:t>
      </w:r>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1" w:firstLineChars="100"/>
        <w:jc w:val="center"/>
        <w:textAlignment w:val="auto"/>
        <w:rPr>
          <w:rFonts w:ascii="黑体" w:hAnsi="宋体" w:eastAsia="黑体"/>
          <w:b/>
          <w:bCs/>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b/>
          <w:szCs w:val="21"/>
        </w:rPr>
      </w:pPr>
      <w:r>
        <w:rPr>
          <w:rFonts w:hint="eastAsia" w:ascii="宋体" w:hAnsi="宋体"/>
          <w:b/>
          <w:szCs w:val="21"/>
        </w:rPr>
        <w:t>1.服务方案说明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1.1谈判单位应根据“用户需求书”规定编写服务方案或服务大纲。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textAlignment w:val="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numPr>
          <w:ilvl w:val="0"/>
          <w:numId w:val="0"/>
        </w:numPr>
        <w:adjustRightInd w:val="0"/>
        <w:snapToGrid w:val="0"/>
        <w:spacing w:line="360" w:lineRule="auto"/>
        <w:ind w:right="24" w:rightChars="0"/>
        <w:jc w:val="center"/>
        <w:outlineLvl w:val="1"/>
        <w:rPr>
          <w:rFonts w:hint="eastAsia" w:ascii="宋体" w:hAnsi="宋体" w:cs="宋体"/>
          <w:b/>
          <w:sz w:val="32"/>
          <w:szCs w:val="32"/>
        </w:rPr>
      </w:pPr>
      <w:r>
        <w:rPr>
          <w:rFonts w:ascii="宋体" w:hAnsi="宋体"/>
          <w:sz w:val="24"/>
        </w:rPr>
        <w:br w:type="page"/>
      </w:r>
      <w:bookmarkStart w:id="128" w:name="_Toc9579"/>
      <w:bookmarkStart w:id="129" w:name="_Toc21225"/>
      <w:bookmarkStart w:id="130" w:name="_Toc25553"/>
      <w:bookmarkStart w:id="131" w:name="_Toc15835"/>
      <w:bookmarkStart w:id="132" w:name="_Toc5387"/>
      <w:r>
        <w:rPr>
          <w:rFonts w:hint="eastAsia" w:ascii="宋体" w:hAnsi="宋体" w:cs="宋体"/>
          <w:b/>
          <w:sz w:val="32"/>
          <w:szCs w:val="32"/>
          <w:lang w:eastAsia="zh-CN"/>
        </w:rPr>
        <w:t>六、</w:t>
      </w:r>
      <w:r>
        <w:rPr>
          <w:rFonts w:hint="eastAsia" w:ascii="宋体" w:hAnsi="宋体" w:cs="宋体"/>
          <w:b/>
          <w:sz w:val="32"/>
          <w:szCs w:val="32"/>
        </w:rPr>
        <w:t>报价一览表</w:t>
      </w:r>
      <w:bookmarkEnd w:id="128"/>
      <w:bookmarkEnd w:id="129"/>
      <w:bookmarkEnd w:id="130"/>
      <w:bookmarkEnd w:id="131"/>
      <w:bookmarkEnd w:id="132"/>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项目名称</w:t>
            </w:r>
          </w:p>
        </w:tc>
        <w:tc>
          <w:tcPr>
            <w:tcW w:w="6297" w:type="dxa"/>
            <w:noWrap w:val="0"/>
            <w:vAlign w:val="center"/>
          </w:tcPr>
          <w:p>
            <w:pPr>
              <w:rPr>
                <w:rFonts w:ascii="宋体" w:hAnsi="宋体"/>
                <w:color w:val="auto"/>
                <w:szCs w:val="21"/>
                <w:highlight w:val="none"/>
              </w:rPr>
            </w:pPr>
            <w:r>
              <w:rPr>
                <w:rFonts w:hint="eastAsia" w:ascii="宋体" w:hAnsi="宋体"/>
                <w:color w:val="auto"/>
                <w:szCs w:val="21"/>
                <w:highlight w:val="none"/>
                <w:lang w:val="en-US" w:eastAsia="zh-CN"/>
              </w:rPr>
              <w:t>长沙市轨道交通2号线电客车首轮大修、4号线电客车首轮架修概算编制咨询服务项目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项目编号</w:t>
            </w:r>
          </w:p>
        </w:tc>
        <w:tc>
          <w:tcPr>
            <w:tcW w:w="6297" w:type="dxa"/>
            <w:noWrap w:val="0"/>
            <w:vAlign w:val="center"/>
          </w:tcPr>
          <w:p>
            <w:pPr>
              <w:rPr>
                <w:rFonts w:ascii="宋体" w:hAnsi="宋体"/>
                <w:color w:val="auto"/>
                <w:szCs w:val="21"/>
                <w:highlight w:val="none"/>
              </w:rPr>
            </w:pPr>
            <w:r>
              <w:rPr>
                <w:rStyle w:val="56"/>
                <w:rFonts w:hint="eastAsia"/>
                <w:color w:val="auto"/>
                <w:kern w:val="0"/>
                <w:u w:val="none"/>
                <w:shd w:val="clear" w:color="auto" w:fill="FFFFFF"/>
              </w:rPr>
              <w:t>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noWrap w:val="0"/>
            <w:vAlign w:val="center"/>
          </w:tcPr>
          <w:p>
            <w:pPr>
              <w:spacing w:line="420" w:lineRule="exact"/>
              <w:jc w:val="center"/>
              <w:rPr>
                <w:b/>
                <w:bCs/>
                <w:color w:val="auto"/>
                <w:highlight w:val="none"/>
              </w:rPr>
            </w:pPr>
            <w:r>
              <w:rPr>
                <w:rFonts w:hint="eastAsia"/>
                <w:b/>
                <w:bCs/>
                <w:color w:val="auto"/>
                <w:highlight w:val="none"/>
              </w:rPr>
              <w:t>服务期限</w:t>
            </w:r>
          </w:p>
        </w:tc>
        <w:tc>
          <w:tcPr>
            <w:tcW w:w="6297" w:type="dxa"/>
            <w:noWrap w:val="0"/>
            <w:vAlign w:val="center"/>
          </w:tcPr>
          <w:p>
            <w:pPr>
              <w:rPr>
                <w:rFonts w:ascii="宋体" w:hAnsi="宋体"/>
                <w:color w:val="auto"/>
                <w:szCs w:val="21"/>
                <w:highlight w:val="none"/>
              </w:rPr>
            </w:pPr>
            <w:r>
              <w:rPr>
                <w:rFonts w:hint="eastAsia" w:ascii="宋体" w:hAnsi="宋体" w:cs="宋体"/>
              </w:rPr>
              <w:t>本项目服</w:t>
            </w:r>
            <w:r>
              <w:rPr>
                <w:rFonts w:hint="eastAsia" w:ascii="宋体" w:hAnsi="宋体" w:eastAsia="宋体" w:cs="宋体"/>
                <w:color w:val="000000"/>
                <w:highlight w:val="none"/>
                <w:lang w:val="en-US" w:eastAsia="zh-CN"/>
              </w:rPr>
              <w:t>务期限为90个自然日（实际服务时间以采购单位发出的进场通知起算，总计90个自然日）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谈判不含增值税</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6297" w:type="dxa"/>
            <w:noWrap w:val="0"/>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6297" w:type="dxa"/>
            <w:noWrap w:val="0"/>
            <w:vAlign w:val="center"/>
          </w:tcPr>
          <w:p>
            <w:pPr>
              <w:adjustRightInd w:val="0"/>
              <w:snapToGrid w:val="0"/>
              <w:spacing w:line="360" w:lineRule="auto"/>
              <w:ind w:firstLine="0" w:firstLineChars="0"/>
              <w:rPr>
                <w:rFonts w:ascii="宋体" w:hAnsi="宋体"/>
                <w:color w:val="auto"/>
                <w:szCs w:val="21"/>
                <w:highlight w:val="none"/>
              </w:rPr>
            </w:pPr>
            <w:r>
              <w:rPr>
                <w:rFonts w:hint="eastAsia" w:ascii="宋体" w:hAnsi="宋体"/>
                <w:b/>
                <w:color w:val="auto"/>
                <w:szCs w:val="21"/>
                <w:highlight w:val="none"/>
                <w:lang w:val="en-US" w:eastAsia="zh-CN"/>
              </w:rPr>
              <w:t>*</w:t>
            </w:r>
            <w:r>
              <w:rPr>
                <w:rFonts w:hint="eastAsia" w:ascii="宋体" w:hAnsi="宋体"/>
                <w:b/>
                <w:color w:val="auto"/>
                <w:szCs w:val="21"/>
                <w:highlight w:val="none"/>
              </w:rPr>
              <w:t>本项目报价须满足“谈判不含增值税总报价=谈判总报价/（1+增值税税率）”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rPr>
        <w:t>3.</w:t>
      </w:r>
      <w:r>
        <w:rPr>
          <w:rFonts w:hint="eastAsia" w:ascii="宋体" w:hAnsi="宋体" w:eastAsia="宋体" w:cs="Times New Roman"/>
          <w:b/>
          <w:szCs w:val="21"/>
          <w:highlight w:val="none"/>
          <w:lang w:val="en-US" w:eastAsia="zh-CN"/>
        </w:rPr>
        <w:t>本项目设置最高限价，谈判报价综合单价、总价不能高于采购单位公布的最高限价，不超过最高限价的谈判报价综合单价、总价方为有效报价。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29"/>
        <w:adjustRightInd w:val="0"/>
        <w:snapToGrid w:val="0"/>
        <w:spacing w:line="360" w:lineRule="auto"/>
        <w:rPr>
          <w:rFonts w:hint="eastAsia" w:ascii="宋体" w:hAnsi="宋体"/>
          <w:sz w:val="21"/>
          <w:szCs w:val="21"/>
          <w:highlight w:val="none"/>
        </w:rPr>
      </w:pPr>
    </w:p>
    <w:p>
      <w:pPr>
        <w:pStyle w:val="29"/>
        <w:adjustRightInd w:val="0"/>
        <w:snapToGrid w:val="0"/>
        <w:spacing w:line="360" w:lineRule="auto"/>
        <w:rPr>
          <w:rFonts w:hint="eastAsia" w:ascii="宋体" w:hAnsi="宋体"/>
          <w:sz w:val="21"/>
          <w:szCs w:val="21"/>
          <w:highlight w:val="none"/>
        </w:rPr>
      </w:pPr>
    </w:p>
    <w:p>
      <w:pPr>
        <w:pStyle w:val="29"/>
        <w:adjustRightInd w:val="0"/>
        <w:snapToGrid w:val="0"/>
        <w:spacing w:line="360" w:lineRule="auto"/>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
        <w:numPr>
          <w:ilvl w:val="0"/>
          <w:numId w:val="0"/>
        </w:numPr>
        <w:ind w:leftChars="200"/>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33" w:name="_Toc6330"/>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分项价格表</w:t>
      </w:r>
      <w:bookmarkEnd w:id="133"/>
    </w:p>
    <w:p>
      <w:pPr>
        <w:adjustRightInd w:val="0"/>
        <w:snapToGrid w:val="0"/>
        <w:jc w:val="right"/>
        <w:rPr>
          <w:rFonts w:ascii="黑体" w:hAnsi="宋体" w:eastAsia="黑体"/>
          <w:sz w:val="24"/>
        </w:rPr>
      </w:pPr>
    </w:p>
    <w:tbl>
      <w:tblPr>
        <w:tblStyle w:val="47"/>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2085"/>
        <w:gridCol w:w="714"/>
        <w:gridCol w:w="781"/>
        <w:gridCol w:w="1224"/>
        <w:gridCol w:w="1248"/>
        <w:gridCol w:w="123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bookmarkStart w:id="134" w:name="_Toc5231"/>
            <w:r>
              <w:rPr>
                <w:rFonts w:hint="eastAsia" w:ascii="宋体" w:hAnsi="宋体" w:eastAsia="宋体" w:cs="宋体"/>
                <w:b/>
                <w:bCs/>
                <w:kern w:val="0"/>
                <w:sz w:val="21"/>
                <w:szCs w:val="21"/>
                <w:lang w:val="en-US" w:eastAsia="zh-CN" w:bidi="ar"/>
              </w:rPr>
              <w:t>项目名称</w:t>
            </w:r>
          </w:p>
        </w:tc>
        <w:tc>
          <w:tcPr>
            <w:tcW w:w="8526" w:type="dxa"/>
            <w:gridSpan w:val="7"/>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Fonts w:hint="eastAsia" w:ascii="宋体" w:hAnsi="宋体"/>
                <w:color w:val="auto"/>
                <w:szCs w:val="21"/>
                <w:highlight w:val="none"/>
                <w:lang w:val="en-US" w:eastAsia="zh-CN"/>
              </w:rPr>
              <w:t>长沙市轨道交通2号线电客车首轮大修、4号线电客车首轮架修概算编制咨询服务项目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项目编号</w:t>
            </w:r>
          </w:p>
        </w:tc>
        <w:tc>
          <w:tcPr>
            <w:tcW w:w="8526"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Style w:val="56"/>
                <w:rFonts w:hint="eastAsia"/>
                <w:color w:val="auto"/>
                <w:kern w:val="0"/>
                <w:u w:val="none"/>
                <w:shd w:val="clear" w:color="auto" w:fill="FFFFFF"/>
              </w:rPr>
              <w:t>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120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序号</w:t>
            </w:r>
          </w:p>
        </w:tc>
        <w:tc>
          <w:tcPr>
            <w:tcW w:w="208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分项名称</w:t>
            </w:r>
          </w:p>
        </w:tc>
        <w:tc>
          <w:tcPr>
            <w:tcW w:w="714"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宋体" w:hAnsi="宋体" w:eastAsia="宋体" w:cs="宋体"/>
                <w:b/>
                <w:bCs/>
                <w:kern w:val="0"/>
                <w:sz w:val="21"/>
                <w:szCs w:val="21"/>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增值税</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税率（A）</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增值税</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税费(B)</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Fonts w:hint="eastAsia" w:ascii="Times New Roman" w:hAnsi="宋体" w:eastAsia="宋体" w:cs="宋体"/>
                <w:b/>
                <w:bCs/>
                <w:kern w:val="2"/>
                <w:sz w:val="21"/>
                <w:szCs w:val="21"/>
                <w:lang w:val="en-US" w:eastAsia="zh-CN" w:bidi="ar"/>
              </w:rPr>
              <w:t>不含增值税报价（</w:t>
            </w:r>
            <w:r>
              <w:rPr>
                <w:rFonts w:hint="default" w:ascii="Times New Roman" w:hAnsi="宋体" w:eastAsia="宋体" w:cs="宋体"/>
                <w:b/>
                <w:bCs/>
                <w:kern w:val="2"/>
                <w:sz w:val="21"/>
                <w:szCs w:val="21"/>
                <w:lang w:val="en-US" w:eastAsia="zh-CN" w:bidi="ar"/>
              </w:rPr>
              <w:t>C</w:t>
            </w:r>
            <w:r>
              <w:rPr>
                <w:rFonts w:hint="eastAsia" w:ascii="Times New Roman" w:hAnsi="宋体" w:eastAsia="宋体" w:cs="宋体"/>
                <w:b/>
                <w:bCs/>
                <w:kern w:val="2"/>
                <w:sz w:val="21"/>
                <w:szCs w:val="21"/>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hAnsi="宋体" w:cs="宋体"/>
                <w:b/>
                <w:bCs/>
                <w:szCs w:val="21"/>
                <w:lang w:val="en-US"/>
              </w:rPr>
            </w:pPr>
            <w:r>
              <w:rPr>
                <w:rFonts w:hint="eastAsia" w:ascii="Times New Roman" w:hAnsi="宋体" w:eastAsia="宋体" w:cs="宋体"/>
                <w:b/>
                <w:bCs/>
                <w:kern w:val="2"/>
                <w:sz w:val="21"/>
                <w:szCs w:val="21"/>
                <w:lang w:val="en-US" w:eastAsia="zh-CN" w:bidi="ar"/>
              </w:rPr>
              <w:t>含增值税报价（</w:t>
            </w:r>
            <w:r>
              <w:rPr>
                <w:rFonts w:hint="default" w:ascii="Times New Roman" w:hAnsi="宋体" w:eastAsia="宋体" w:cs="宋体"/>
                <w:b/>
                <w:bCs/>
                <w:kern w:val="2"/>
                <w:sz w:val="21"/>
                <w:szCs w:val="21"/>
                <w:lang w:val="en-US" w:eastAsia="zh-CN" w:bidi="ar"/>
              </w:rPr>
              <w:t>D</w:t>
            </w:r>
            <w:r>
              <w:rPr>
                <w:rFonts w:hint="eastAsia" w:ascii="Times New Roman" w:hAnsi="宋体" w:eastAsia="宋体" w:cs="宋体"/>
                <w:b/>
                <w:bCs/>
                <w:kern w:val="2"/>
                <w:sz w:val="21"/>
                <w:szCs w:val="21"/>
                <w:lang w:val="en-US" w:eastAsia="zh-CN" w:bidi="ar"/>
              </w:rPr>
              <w:t>）</w:t>
            </w:r>
          </w:p>
          <w:p>
            <w:pPr>
              <w:keepNext w:val="0"/>
              <w:keepLines w:val="0"/>
              <w:widowControl w:val="0"/>
              <w:suppressLineNumbers w:val="0"/>
              <w:spacing w:before="0" w:beforeAutospacing="0" w:after="0" w:afterAutospacing="0"/>
              <w:ind w:left="0" w:right="0"/>
              <w:jc w:val="center"/>
              <w:rPr>
                <w:rFonts w:hint="default" w:hAnsi="宋体" w:cs="宋体"/>
                <w:b/>
                <w:bCs/>
                <w:szCs w:val="21"/>
                <w:lang w:val="en-US"/>
              </w:rPr>
            </w:pPr>
            <w:r>
              <w:rPr>
                <w:rFonts w:hint="eastAsia" w:ascii="Times New Roman" w:hAnsi="宋体" w:eastAsia="宋体" w:cs="宋体"/>
                <w:b/>
                <w:bCs/>
                <w:kern w:val="2"/>
                <w:sz w:val="21"/>
                <w:szCs w:val="21"/>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20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r>
              <w:rPr>
                <w:rFonts w:hint="eastAsia"/>
                <w:kern w:val="0"/>
                <w:szCs w:val="21"/>
                <w:lang w:val="en-US" w:eastAsia="zh-CN" w:bidi="ar"/>
              </w:rPr>
              <w:t>2号线大修概算编制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12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p>
        </w:tc>
        <w:tc>
          <w:tcPr>
            <w:tcW w:w="124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r>
              <w:rPr>
                <w:rFonts w:hint="eastAsia"/>
                <w:kern w:val="0"/>
                <w:szCs w:val="21"/>
                <w:lang w:val="en-US" w:eastAsia="zh-CN" w:bidi="ar"/>
              </w:rPr>
              <w:t>4号线架修概算编制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12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p>
        </w:tc>
        <w:tc>
          <w:tcPr>
            <w:tcW w:w="124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6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总计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r>
    </w:tbl>
    <w:p>
      <w:pPr>
        <w:keepNext w:val="0"/>
        <w:keepLines w:val="0"/>
        <w:widowControl w:val="0"/>
        <w:suppressLineNumbers w:val="0"/>
        <w:adjustRightInd w:val="0"/>
        <w:snapToGrid w:val="0"/>
        <w:spacing w:before="0" w:beforeAutospacing="0" w:after="0" w:afterAutospacing="0"/>
        <w:ind w:left="0" w:right="0"/>
        <w:jc w:val="both"/>
        <w:rPr>
          <w:b/>
          <w:bCs/>
          <w:szCs w:val="21"/>
          <w:lang w:val="en-US"/>
        </w:rPr>
      </w:pPr>
      <w:r>
        <w:rPr>
          <w:rFonts w:hint="eastAsia" w:ascii="Times New Roman" w:hAnsi="Times New Roman" w:eastAsia="宋体" w:cs="宋体"/>
          <w:b/>
          <w:bCs/>
          <w:kern w:val="2"/>
          <w:sz w:val="21"/>
          <w:szCs w:val="21"/>
          <w:lang w:val="en-US" w:eastAsia="zh-CN" w:bidi="ar"/>
        </w:rPr>
        <w:t>备注：</w:t>
      </w:r>
      <w:r>
        <w:rPr>
          <w:rFonts w:hint="default" w:ascii="Times New Roman" w:hAnsi="Times New Roman" w:eastAsia="宋体" w:cs="Times New Roman"/>
          <w:b/>
          <w:bCs/>
          <w:kern w:val="2"/>
          <w:sz w:val="21"/>
          <w:szCs w:val="21"/>
          <w:lang w:val="en-US" w:eastAsia="zh-CN" w:bidi="ar"/>
        </w:rPr>
        <w:t>1.</w:t>
      </w:r>
      <w:r>
        <w:rPr>
          <w:rFonts w:hint="eastAsia" w:ascii="Times New Roman" w:hAnsi="Times New Roman" w:eastAsia="宋体" w:cs="宋体"/>
          <w:b/>
          <w:bCs/>
          <w:kern w:val="2"/>
          <w:sz w:val="21"/>
          <w:szCs w:val="21"/>
          <w:lang w:val="en-US" w:eastAsia="zh-CN" w:bidi="ar"/>
        </w:rPr>
        <w:t>所有报价保留小数点后两位，小数点后第三位</w:t>
      </w:r>
      <w:r>
        <w:rPr>
          <w:rFonts w:hint="default" w:ascii="Times New Roman" w:hAnsi="Times New Roman" w:eastAsia="宋体" w:cs="Times New Roman"/>
          <w:b/>
          <w:bCs/>
          <w:kern w:val="2"/>
          <w:sz w:val="21"/>
          <w:szCs w:val="21"/>
          <w:lang w:val="en-US" w:eastAsia="zh-CN" w:bidi="ar"/>
        </w:rPr>
        <w:t>“</w:t>
      </w:r>
      <w:r>
        <w:rPr>
          <w:rFonts w:hint="eastAsia" w:ascii="Times New Roman" w:hAnsi="Times New Roman" w:eastAsia="宋体" w:cs="宋体"/>
          <w:b/>
          <w:bCs/>
          <w:kern w:val="2"/>
          <w:sz w:val="21"/>
          <w:szCs w:val="21"/>
          <w:lang w:val="en-US" w:eastAsia="zh-CN" w:bidi="ar"/>
        </w:rPr>
        <w:t>四舍五入</w:t>
      </w:r>
      <w:r>
        <w:rPr>
          <w:rFonts w:hint="default" w:ascii="Times New Roman" w:hAnsi="Times New Roman" w:eastAsia="宋体" w:cs="Times New Roman"/>
          <w:b/>
          <w:bCs/>
          <w:kern w:val="2"/>
          <w:sz w:val="21"/>
          <w:szCs w:val="21"/>
          <w:lang w:val="en-US" w:eastAsia="zh-CN" w:bidi="ar"/>
        </w:rPr>
        <w:t>”</w:t>
      </w:r>
      <w:r>
        <w:rPr>
          <w:rFonts w:hint="eastAsia" w:ascii="Times New Roman" w:hAnsi="Times New Roman" w:eastAsia="宋体" w:cs="宋体"/>
          <w:b/>
          <w:bCs/>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ind w:left="630" w:leftChars="300" w:right="0"/>
        <w:jc w:val="both"/>
        <w:rPr>
          <w:b/>
          <w:bCs/>
          <w:szCs w:val="21"/>
          <w:lang w:val="en-US"/>
        </w:rPr>
      </w:pPr>
      <w:r>
        <w:rPr>
          <w:rFonts w:hint="default" w:ascii="Times New Roman" w:hAnsi="Times New Roman" w:eastAsia="宋体" w:cs="Times New Roman"/>
          <w:b/>
          <w:bCs/>
          <w:kern w:val="2"/>
          <w:sz w:val="21"/>
          <w:szCs w:val="21"/>
          <w:lang w:val="en-US" w:eastAsia="zh-CN" w:bidi="ar"/>
        </w:rPr>
        <w:t>2.</w:t>
      </w:r>
      <w:r>
        <w:rPr>
          <w:rFonts w:hint="eastAsia" w:ascii="Times New Roman" w:hAnsi="Times New Roman" w:eastAsia="宋体" w:cs="宋体"/>
          <w:b/>
          <w:bCs/>
          <w:kern w:val="2"/>
          <w:sz w:val="21"/>
          <w:szCs w:val="21"/>
          <w:lang w:val="en-US" w:eastAsia="zh-CN" w:bidi="ar"/>
        </w:rPr>
        <w:t>本表的增值税税率应与《报价一览表》内增值税税率一致。</w:t>
      </w:r>
    </w:p>
    <w:p>
      <w:pPr>
        <w:keepNext w:val="0"/>
        <w:keepLines w:val="0"/>
        <w:widowControl w:val="0"/>
        <w:suppressLineNumbers w:val="0"/>
        <w:adjustRightInd w:val="0"/>
        <w:snapToGrid w:val="0"/>
        <w:spacing w:before="0" w:beforeAutospacing="0" w:after="0" w:afterAutospacing="0"/>
        <w:ind w:left="630" w:leftChars="300" w:right="0"/>
        <w:jc w:val="both"/>
        <w:rPr>
          <w:b/>
          <w:bCs/>
          <w:szCs w:val="21"/>
          <w:lang w:val="en-US"/>
        </w:rPr>
      </w:pPr>
      <w:r>
        <w:rPr>
          <w:rFonts w:hint="default" w:ascii="Times New Roman" w:hAnsi="Times New Roman" w:eastAsia="宋体" w:cs="Times New Roman"/>
          <w:b/>
          <w:bCs/>
          <w:kern w:val="2"/>
          <w:sz w:val="21"/>
          <w:szCs w:val="21"/>
          <w:lang w:val="en-US" w:eastAsia="zh-CN" w:bidi="ar"/>
        </w:rPr>
        <w:t>3.</w:t>
      </w:r>
      <w:r>
        <w:rPr>
          <w:rFonts w:hint="eastAsia" w:ascii="Times New Roman" w:hAnsi="Times New Roman" w:eastAsia="宋体" w:cs="宋体"/>
          <w:b/>
          <w:bCs/>
          <w:kern w:val="2"/>
          <w:sz w:val="21"/>
          <w:szCs w:val="21"/>
          <w:lang w:val="en-US" w:eastAsia="zh-CN" w:bidi="ar"/>
        </w:rPr>
        <w:t>报价需满足</w:t>
      </w:r>
      <w:r>
        <w:rPr>
          <w:rFonts w:hint="default" w:ascii="Times New Roman" w:hAnsi="Times New Roman" w:eastAsia="宋体" w:cs="Times New Roman"/>
          <w:b/>
          <w:bCs/>
          <w:kern w:val="2"/>
          <w:sz w:val="21"/>
          <w:szCs w:val="21"/>
          <w:lang w:val="en-US" w:eastAsia="zh-CN" w:bidi="ar"/>
        </w:rPr>
        <w:t>B=C*A</w:t>
      </w:r>
      <w:r>
        <w:rPr>
          <w:rFonts w:hint="eastAsia" w:ascii="Times New Roman" w:hAnsi="Times New Roman" w:eastAsia="宋体" w:cs="宋体"/>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D=B</w:t>
      </w:r>
      <w:r>
        <w:rPr>
          <w:rFonts w:hint="eastAsia" w:ascii="Times New Roman" w:hAnsi="Times New Roman" w:eastAsia="宋体" w:cs="宋体"/>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C</w:t>
      </w:r>
      <w:r>
        <w:rPr>
          <w:rFonts w:hint="eastAsia" w:ascii="Times New Roman" w:hAnsi="Times New Roman" w:eastAsia="宋体" w:cs="宋体"/>
          <w:b/>
          <w:bCs/>
          <w:kern w:val="2"/>
          <w:sz w:val="21"/>
          <w:szCs w:val="21"/>
          <w:lang w:val="en-US" w:eastAsia="zh-CN" w:bidi="ar"/>
        </w:rPr>
        <w:t>。</w:t>
      </w: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w:t>
      </w:r>
      <w:bookmarkEnd w:id="134"/>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35" w:name="_Toc28605"/>
      <w:r>
        <w:rPr>
          <w:rFonts w:hint="eastAsia" w:ascii="宋体" w:hAnsi="宋体"/>
          <w:szCs w:val="21"/>
        </w:rPr>
        <w:t>法定代表人或其委托代理人(签字或盖章)：</w:t>
      </w:r>
      <w:bookmarkEnd w:id="135"/>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36" w:name="_Toc27585"/>
      <w:bookmarkStart w:id="137" w:name="_Toc9077"/>
      <w:bookmarkStart w:id="138" w:name="_Toc22739"/>
      <w:bookmarkStart w:id="139" w:name="_Toc27918"/>
      <w:bookmarkStart w:id="140" w:name="_Toc9958"/>
      <w:r>
        <w:rPr>
          <w:rFonts w:hint="eastAsia" w:ascii="宋体" w:hAnsi="宋体" w:cs="宋体"/>
          <w:b/>
          <w:sz w:val="32"/>
          <w:szCs w:val="32"/>
          <w:lang w:val="en-US" w:eastAsia="zh-CN"/>
        </w:rPr>
        <w:t>八</w:t>
      </w:r>
      <w:r>
        <w:rPr>
          <w:rFonts w:hint="eastAsia" w:ascii="宋体" w:hAnsi="宋体" w:cs="宋体"/>
          <w:b/>
          <w:sz w:val="32"/>
          <w:szCs w:val="32"/>
        </w:rPr>
        <w:t>、其他资料</w:t>
      </w:r>
      <w:bookmarkEnd w:id="136"/>
      <w:bookmarkEnd w:id="137"/>
      <w:bookmarkEnd w:id="138"/>
      <w:r>
        <w:rPr>
          <w:rFonts w:hint="eastAsia" w:ascii="宋体" w:hAnsi="宋体" w:cs="宋体"/>
          <w:b/>
          <w:sz w:val="32"/>
          <w:szCs w:val="32"/>
        </w:rPr>
        <w:t>（如有）</w:t>
      </w:r>
      <w:bookmarkEnd w:id="139"/>
      <w:bookmarkEnd w:id="140"/>
    </w:p>
    <w:p>
      <w:pPr>
        <w:adjustRightInd w:val="0"/>
        <w:snapToGrid w:val="0"/>
        <w:spacing w:before="159" w:beforeLines="50" w:line="360" w:lineRule="auto"/>
        <w:ind w:firstLine="420" w:firstLineChars="200"/>
        <w:jc w:val="left"/>
        <w:rPr>
          <w:rFonts w:ascii="宋体" w:hAnsi="宋体"/>
          <w:szCs w:val="21"/>
        </w:rPr>
      </w:pPr>
      <w:bookmarkStart w:id="141" w:name="_Toc10648"/>
      <w:bookmarkStart w:id="142" w:name="_Toc18188"/>
      <w:bookmarkStart w:id="143" w:name="_Toc5412"/>
      <w:bookmarkStart w:id="144" w:name="_Toc22084"/>
      <w:r>
        <w:rPr>
          <w:rFonts w:hint="eastAsia" w:ascii="宋体" w:hAnsi="宋体"/>
          <w:szCs w:val="21"/>
        </w:rPr>
        <w:t>谈判单位认为需要提供的其他</w:t>
      </w:r>
      <w:r>
        <w:rPr>
          <w:rFonts w:hint="eastAsia" w:ascii="宋体" w:hAnsi="宋体"/>
          <w:color w:val="auto"/>
          <w:szCs w:val="21"/>
        </w:rPr>
        <w:t>谈判</w:t>
      </w:r>
      <w:r>
        <w:rPr>
          <w:rFonts w:hint="eastAsia" w:ascii="宋体" w:hAnsi="宋体"/>
          <w:szCs w:val="21"/>
        </w:rPr>
        <w:t>资料，格式自拟。</w:t>
      </w:r>
      <w:bookmarkEnd w:id="141"/>
      <w:bookmarkEnd w:id="142"/>
      <w:bookmarkEnd w:id="143"/>
      <w:bookmarkEnd w:id="144"/>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6">
    <w:nsid w:val="FE293A88"/>
    <w:multiLevelType w:val="singleLevel"/>
    <w:tmpl w:val="FE293A88"/>
    <w:lvl w:ilvl="0" w:tentative="0">
      <w:start w:val="3"/>
      <w:numFmt w:val="chineseCounting"/>
      <w:pStyle w:val="359"/>
      <w:suff w:val="nothing"/>
      <w:lvlText w:val="%1、"/>
      <w:lvlJc w:val="left"/>
      <w:rPr>
        <w:rFonts w:hint="eastAsia"/>
      </w:rPr>
    </w:lvl>
  </w:abstractNum>
  <w:abstractNum w:abstractNumId="7">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8">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9">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0">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12CAFF"/>
    <w:multiLevelType w:val="singleLevel"/>
    <w:tmpl w:val="1C12CAFF"/>
    <w:lvl w:ilvl="0" w:tentative="0">
      <w:start w:val="1"/>
      <w:numFmt w:val="decimal"/>
      <w:suff w:val="nothing"/>
      <w:lvlText w:val="%1．"/>
      <w:lvlJc w:val="left"/>
      <w:pPr>
        <w:ind w:left="0" w:firstLine="400"/>
      </w:pPr>
      <w:rPr>
        <w:rFonts w:hint="default"/>
      </w:rPr>
    </w:lvl>
  </w:abstractNum>
  <w:abstractNum w:abstractNumId="13">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4">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5">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6"/>
  </w:num>
  <w:num w:numId="6">
    <w:abstractNumId w:val="13"/>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172A27"/>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72A27"/>
    <w:rsid w:val="00186162"/>
    <w:rsid w:val="0019086A"/>
    <w:rsid w:val="001C23BF"/>
    <w:rsid w:val="001D6D72"/>
    <w:rsid w:val="001E02FE"/>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5503A"/>
    <w:rsid w:val="0046304B"/>
    <w:rsid w:val="00473865"/>
    <w:rsid w:val="0048093D"/>
    <w:rsid w:val="00495DBC"/>
    <w:rsid w:val="00495F57"/>
    <w:rsid w:val="004978CA"/>
    <w:rsid w:val="004B3D80"/>
    <w:rsid w:val="004B41B1"/>
    <w:rsid w:val="00500B91"/>
    <w:rsid w:val="00504DED"/>
    <w:rsid w:val="00526589"/>
    <w:rsid w:val="00545140"/>
    <w:rsid w:val="0055214F"/>
    <w:rsid w:val="005537C6"/>
    <w:rsid w:val="005556A5"/>
    <w:rsid w:val="0056117D"/>
    <w:rsid w:val="0056143E"/>
    <w:rsid w:val="005837A3"/>
    <w:rsid w:val="0058523E"/>
    <w:rsid w:val="0058754B"/>
    <w:rsid w:val="005C688B"/>
    <w:rsid w:val="005E6BBB"/>
    <w:rsid w:val="005F037B"/>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87C0E"/>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3E97"/>
    <w:rsid w:val="009407F4"/>
    <w:rsid w:val="009955C7"/>
    <w:rsid w:val="009A0679"/>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758B"/>
    <w:rsid w:val="00AF11ED"/>
    <w:rsid w:val="00B01BA0"/>
    <w:rsid w:val="00B2613B"/>
    <w:rsid w:val="00B32406"/>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32E5"/>
    <w:rsid w:val="00C57914"/>
    <w:rsid w:val="00C6008B"/>
    <w:rsid w:val="00C668B4"/>
    <w:rsid w:val="00C758E3"/>
    <w:rsid w:val="00C84172"/>
    <w:rsid w:val="00CB534B"/>
    <w:rsid w:val="00CE51F2"/>
    <w:rsid w:val="00CE631C"/>
    <w:rsid w:val="00CE703D"/>
    <w:rsid w:val="00CF0192"/>
    <w:rsid w:val="00CF040C"/>
    <w:rsid w:val="00D069C6"/>
    <w:rsid w:val="00D164FE"/>
    <w:rsid w:val="00D31733"/>
    <w:rsid w:val="00D40D79"/>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02213"/>
    <w:rsid w:val="00F175B5"/>
    <w:rsid w:val="00F338DB"/>
    <w:rsid w:val="00F37996"/>
    <w:rsid w:val="00F410E0"/>
    <w:rsid w:val="00F52B22"/>
    <w:rsid w:val="00F579E9"/>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846AE9"/>
    <w:rsid w:val="2FAD2438"/>
    <w:rsid w:val="2FC811E9"/>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A40443"/>
    <w:rsid w:val="33A718ED"/>
    <w:rsid w:val="33AA3E3F"/>
    <w:rsid w:val="33C61EE3"/>
    <w:rsid w:val="33EF143A"/>
    <w:rsid w:val="3402290E"/>
    <w:rsid w:val="341D5FA7"/>
    <w:rsid w:val="344A35D0"/>
    <w:rsid w:val="348731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4C6D"/>
    <w:rsid w:val="43E06D85"/>
    <w:rsid w:val="43F8127E"/>
    <w:rsid w:val="440A08B0"/>
    <w:rsid w:val="4428525F"/>
    <w:rsid w:val="444A0170"/>
    <w:rsid w:val="44621887"/>
    <w:rsid w:val="44667276"/>
    <w:rsid w:val="448259B3"/>
    <w:rsid w:val="44A37922"/>
    <w:rsid w:val="44B63420"/>
    <w:rsid w:val="44B71DE6"/>
    <w:rsid w:val="44BE70AA"/>
    <w:rsid w:val="44C075E6"/>
    <w:rsid w:val="44D7718A"/>
    <w:rsid w:val="44DB6B8D"/>
    <w:rsid w:val="45561319"/>
    <w:rsid w:val="458431BA"/>
    <w:rsid w:val="45A57BAB"/>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B2082"/>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4"/>
    <w:qFormat/>
    <w:uiPriority w:val="0"/>
    <w:pPr>
      <w:keepNext/>
      <w:jc w:val="center"/>
      <w:outlineLvl w:val="0"/>
    </w:pPr>
    <w:rPr>
      <w:b/>
      <w:bCs/>
      <w:kern w:val="0"/>
      <w:sz w:val="24"/>
      <w:szCs w:val="20"/>
    </w:rPr>
  </w:style>
  <w:style w:type="paragraph" w:styleId="7">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8"/>
    <w:qFormat/>
    <w:uiPriority w:val="0"/>
    <w:pPr>
      <w:spacing w:after="120"/>
      <w:ind w:left="420" w:leftChars="200"/>
    </w:pPr>
    <w:rPr>
      <w:rFonts w:ascii="Calibri" w:hAnsi="Calibri" w:cs="黑体"/>
    </w:rPr>
  </w:style>
  <w:style w:type="paragraph" w:styleId="4">
    <w:name w:val="annotation subject"/>
    <w:basedOn w:val="5"/>
    <w:next w:val="1"/>
    <w:link w:val="87"/>
    <w:qFormat/>
    <w:uiPriority w:val="0"/>
    <w:rPr>
      <w:rFonts w:ascii="Calibri" w:hAnsi="Calibri" w:cs="黑体"/>
      <w:b/>
      <w:bCs/>
    </w:rPr>
  </w:style>
  <w:style w:type="paragraph" w:styleId="5">
    <w:name w:val="annotation text"/>
    <w:basedOn w:val="1"/>
    <w:link w:val="110"/>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4"/>
    <w:qFormat/>
    <w:uiPriority w:val="99"/>
    <w:pPr>
      <w:widowControl/>
      <w:ind w:firstLine="420"/>
      <w:jc w:val="left"/>
    </w:pPr>
    <w:rPr>
      <w:kern w:val="0"/>
      <w:sz w:val="20"/>
      <w:szCs w:val="20"/>
    </w:rPr>
  </w:style>
  <w:style w:type="paragraph" w:styleId="18">
    <w:name w:val="Document Map"/>
    <w:basedOn w:val="1"/>
    <w:link w:val="128"/>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5"/>
    <w:qFormat/>
    <w:uiPriority w:val="0"/>
    <w:rPr>
      <w:rFonts w:ascii="仿宋_GB2312" w:eastAsia="仿宋_GB2312"/>
      <w:sz w:val="24"/>
    </w:rPr>
  </w:style>
  <w:style w:type="paragraph" w:styleId="21">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1"/>
    <w:link w:val="118"/>
    <w:qFormat/>
    <w:uiPriority w:val="99"/>
    <w:pPr>
      <w:spacing w:after="120"/>
    </w:p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107"/>
    <w:qFormat/>
    <w:uiPriority w:val="0"/>
    <w:rPr>
      <w:rFonts w:ascii="宋体" w:hAnsi="Courier New" w:cs="Courier New"/>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40"/>
    <w:qFormat/>
    <w:uiPriority w:val="0"/>
    <w:rPr>
      <w:rFonts w:ascii="Calibri" w:hAnsi="Calibri" w:cs="黑体"/>
      <w:sz w:val="24"/>
      <w:szCs w:val="22"/>
    </w:rPr>
  </w:style>
  <w:style w:type="paragraph" w:styleId="30">
    <w:name w:val="Body Text Indent 2"/>
    <w:basedOn w:val="1"/>
    <w:link w:val="102"/>
    <w:qFormat/>
    <w:uiPriority w:val="0"/>
    <w:pPr>
      <w:spacing w:after="120" w:line="480" w:lineRule="auto"/>
      <w:ind w:left="420" w:leftChars="200"/>
    </w:pPr>
  </w:style>
  <w:style w:type="paragraph" w:styleId="31">
    <w:name w:val="Balloon Text"/>
    <w:basedOn w:val="1"/>
    <w:link w:val="97"/>
    <w:qFormat/>
    <w:uiPriority w:val="0"/>
    <w:rPr>
      <w:rFonts w:ascii="Calibri" w:hAnsi="Calibri" w:cs="黑体"/>
      <w:sz w:val="18"/>
      <w:szCs w:val="18"/>
    </w:rPr>
  </w:style>
  <w:style w:type="paragraph" w:styleId="32">
    <w:name w:val="footer"/>
    <w:basedOn w:val="1"/>
    <w:link w:val="63"/>
    <w:unhideWhenUsed/>
    <w:qFormat/>
    <w:uiPriority w:val="0"/>
    <w:pPr>
      <w:tabs>
        <w:tab w:val="center" w:pos="4153"/>
        <w:tab w:val="right" w:pos="8306"/>
      </w:tabs>
      <w:snapToGrid w:val="0"/>
      <w:jc w:val="left"/>
    </w:pPr>
    <w:rPr>
      <w:sz w:val="18"/>
      <w:szCs w:val="18"/>
    </w:rPr>
  </w:style>
  <w:style w:type="paragraph" w:styleId="33">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9"/>
    <w:unhideWhenUsed/>
    <w:qFormat/>
    <w:uiPriority w:val="39"/>
  </w:style>
  <w:style w:type="paragraph" w:styleId="35">
    <w:name w:val="toc 4"/>
    <w:basedOn w:val="1"/>
    <w:next w:val="1"/>
    <w:qFormat/>
    <w:uiPriority w:val="0"/>
    <w:pPr>
      <w:ind w:left="1260" w:leftChars="600"/>
    </w:pPr>
  </w:style>
  <w:style w:type="paragraph" w:styleId="36">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125"/>
    <w:qFormat/>
    <w:uiPriority w:val="0"/>
    <w:pPr>
      <w:spacing w:after="120"/>
      <w:ind w:left="420" w:leftChars="200"/>
    </w:pPr>
    <w:rPr>
      <w:rFonts w:ascii="Calibri" w:hAnsi="Calibri" w:cs="黑体"/>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73"/>
    <w:qFormat/>
    <w:uiPriority w:val="0"/>
    <w:pPr>
      <w:spacing w:after="120" w:line="480" w:lineRule="auto"/>
    </w:pPr>
  </w:style>
  <w:style w:type="paragraph" w:styleId="42">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next w:val="1"/>
    <w:link w:val="101"/>
    <w:qFormat/>
    <w:uiPriority w:val="0"/>
    <w:pPr>
      <w:spacing w:before="240" w:after="60"/>
      <w:jc w:val="center"/>
      <w:outlineLvl w:val="0"/>
    </w:pPr>
    <w:rPr>
      <w:rFonts w:ascii="Cambria" w:hAnsi="Cambria"/>
      <w:b/>
      <w:sz w:val="32"/>
    </w:rPr>
  </w:style>
  <w:style w:type="paragraph" w:styleId="46">
    <w:name w:val="Body Text First Indent"/>
    <w:basedOn w:val="22"/>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3"/>
    <w:qFormat/>
    <w:uiPriority w:val="0"/>
    <w:rPr>
      <w:sz w:val="18"/>
      <w:szCs w:val="18"/>
    </w:rPr>
  </w:style>
  <w:style w:type="character" w:customStyle="1" w:styleId="63">
    <w:name w:val="页脚 字符"/>
    <w:basedOn w:val="49"/>
    <w:link w:val="32"/>
    <w:qFormat/>
    <w:uiPriority w:val="0"/>
    <w:rPr>
      <w:sz w:val="18"/>
      <w:szCs w:val="18"/>
    </w:rPr>
  </w:style>
  <w:style w:type="character" w:customStyle="1" w:styleId="64">
    <w:name w:val="标题 1 字符"/>
    <w:basedOn w:val="49"/>
    <w:link w:val="6"/>
    <w:qFormat/>
    <w:uiPriority w:val="0"/>
    <w:rPr>
      <w:rFonts w:ascii="Times New Roman" w:hAnsi="Times New Roman" w:eastAsia="宋体" w:cs="Times New Roman"/>
      <w:b/>
      <w:bCs/>
      <w:kern w:val="0"/>
      <w:sz w:val="24"/>
      <w:szCs w:val="20"/>
    </w:rPr>
  </w:style>
  <w:style w:type="character" w:customStyle="1" w:styleId="65">
    <w:name w:val="标题 2 字符"/>
    <w:basedOn w:val="49"/>
    <w:link w:val="7"/>
    <w:qFormat/>
    <w:uiPriority w:val="0"/>
    <w:rPr>
      <w:rFonts w:ascii="Arial" w:hAnsi="Arial" w:eastAsia="宋体" w:cs="Times New Roman"/>
      <w:b/>
      <w:bCs/>
      <w:kern w:val="0"/>
      <w:sz w:val="24"/>
      <w:szCs w:val="32"/>
    </w:rPr>
  </w:style>
  <w:style w:type="character" w:customStyle="1" w:styleId="66">
    <w:name w:val="标题 3 字符"/>
    <w:basedOn w:val="49"/>
    <w:link w:val="8"/>
    <w:qFormat/>
    <w:uiPriority w:val="0"/>
    <w:rPr>
      <w:rFonts w:ascii="Times New Roman" w:hAnsi="Times New Roman" w:eastAsia="宋体" w:cs="Times New Roman"/>
      <w:b/>
      <w:bCs/>
      <w:kern w:val="0"/>
      <w:sz w:val="32"/>
      <w:szCs w:val="32"/>
    </w:rPr>
  </w:style>
  <w:style w:type="character" w:customStyle="1" w:styleId="67">
    <w:name w:val="标题 4 字符"/>
    <w:basedOn w:val="49"/>
    <w:link w:val="9"/>
    <w:qFormat/>
    <w:uiPriority w:val="0"/>
    <w:rPr>
      <w:rFonts w:ascii="Arial" w:hAnsi="Arial" w:eastAsia="黑体" w:cs="Times New Roman"/>
      <w:b/>
      <w:bCs/>
      <w:kern w:val="0"/>
      <w:sz w:val="28"/>
      <w:szCs w:val="28"/>
    </w:rPr>
  </w:style>
  <w:style w:type="character" w:customStyle="1" w:styleId="68">
    <w:name w:val="标题 5 字符"/>
    <w:basedOn w:val="49"/>
    <w:link w:val="10"/>
    <w:qFormat/>
    <w:uiPriority w:val="0"/>
    <w:rPr>
      <w:rFonts w:ascii="Times New Roman" w:hAnsi="Times New Roman" w:eastAsia="宋体" w:cs="Times New Roman"/>
      <w:b/>
      <w:bCs/>
      <w:kern w:val="0"/>
      <w:sz w:val="28"/>
      <w:szCs w:val="28"/>
    </w:rPr>
  </w:style>
  <w:style w:type="character" w:customStyle="1" w:styleId="69">
    <w:name w:val="标题 6 字符"/>
    <w:basedOn w:val="49"/>
    <w:link w:val="11"/>
    <w:qFormat/>
    <w:uiPriority w:val="0"/>
    <w:rPr>
      <w:rFonts w:ascii="Arial" w:hAnsi="Arial" w:eastAsia="黑体" w:cs="Times New Roman"/>
      <w:b/>
      <w:bCs/>
      <w:kern w:val="0"/>
      <w:sz w:val="24"/>
      <w:szCs w:val="24"/>
    </w:rPr>
  </w:style>
  <w:style w:type="character" w:customStyle="1" w:styleId="70">
    <w:name w:val="标题 7 字符"/>
    <w:basedOn w:val="49"/>
    <w:link w:val="12"/>
    <w:qFormat/>
    <w:uiPriority w:val="0"/>
    <w:rPr>
      <w:rFonts w:ascii="Times New Roman" w:hAnsi="Times New Roman" w:eastAsia="宋体" w:cs="Times New Roman"/>
      <w:b/>
      <w:bCs/>
      <w:kern w:val="0"/>
      <w:sz w:val="24"/>
      <w:szCs w:val="24"/>
    </w:rPr>
  </w:style>
  <w:style w:type="character" w:customStyle="1" w:styleId="71">
    <w:name w:val="标题 8 字符"/>
    <w:basedOn w:val="49"/>
    <w:link w:val="13"/>
    <w:qFormat/>
    <w:uiPriority w:val="0"/>
    <w:rPr>
      <w:rFonts w:ascii="Arial" w:hAnsi="Arial" w:eastAsia="黑体" w:cs="Times New Roman"/>
      <w:kern w:val="0"/>
      <w:sz w:val="24"/>
      <w:szCs w:val="24"/>
    </w:rPr>
  </w:style>
  <w:style w:type="character" w:customStyle="1" w:styleId="72">
    <w:name w:val="标题 9 字符"/>
    <w:basedOn w:val="49"/>
    <w:link w:val="14"/>
    <w:qFormat/>
    <w:uiPriority w:val="0"/>
    <w:rPr>
      <w:rFonts w:ascii="Arial" w:hAnsi="Arial" w:eastAsia="黑体" w:cs="Times New Roman"/>
      <w:kern w:val="0"/>
      <w:sz w:val="20"/>
      <w:szCs w:val="21"/>
    </w:rPr>
  </w:style>
  <w:style w:type="character" w:customStyle="1" w:styleId="73">
    <w:name w:val="正文文本 2 字符"/>
    <w:basedOn w:val="49"/>
    <w:link w:val="41"/>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1"/>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5"/>
    <w:qFormat/>
    <w:uiPriority w:val="0"/>
    <w:rPr>
      <w:rFonts w:ascii="Cambria" w:hAnsi="Cambria" w:eastAsia="宋体" w:cs="Times New Roman"/>
      <w:b/>
      <w:sz w:val="32"/>
      <w:szCs w:val="24"/>
    </w:rPr>
  </w:style>
  <w:style w:type="character" w:customStyle="1" w:styleId="102">
    <w:name w:val="正文文本缩进 2 字符"/>
    <w:basedOn w:val="49"/>
    <w:link w:val="30"/>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7"/>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5"/>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2"/>
    <w:qFormat/>
    <w:uiPriority w:val="0"/>
    <w:rPr>
      <w:rFonts w:ascii="Arial" w:hAnsi="Arial" w:eastAsia="宋体" w:cs="Arial"/>
      <w:kern w:val="0"/>
      <w:sz w:val="24"/>
      <w:szCs w:val="24"/>
    </w:rPr>
  </w:style>
  <w:style w:type="character" w:customStyle="1" w:styleId="115">
    <w:name w:val="称呼 字符"/>
    <w:basedOn w:val="49"/>
    <w:link w:val="20"/>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8"/>
    <w:qFormat/>
    <w:uiPriority w:val="0"/>
    <w:rPr>
      <w:rFonts w:ascii="Calibri" w:hAnsi="Calibri" w:eastAsia="宋体" w:cs="黑体"/>
      <w:sz w:val="16"/>
      <w:szCs w:val="16"/>
    </w:rPr>
  </w:style>
  <w:style w:type="character" w:customStyle="1" w:styleId="126">
    <w:name w:val="副标题 字符"/>
    <w:basedOn w:val="49"/>
    <w:link w:val="36"/>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8"/>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9"/>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1"/>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8"/>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5"/>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6"/>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6"/>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7"/>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7"/>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6"/>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9"/>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8"/>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8"/>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23503</Words>
  <Characters>24439</Characters>
  <Lines>42</Lines>
  <Paragraphs>57</Paragraphs>
  <TotalTime>3</TotalTime>
  <ScaleCrop>false</ScaleCrop>
  <LinksUpToDate>false</LinksUpToDate>
  <CharactersWithSpaces>25855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2023-03-13T01:46:00Z</cp:lastPrinted>
  <dcterms:modified xsi:type="dcterms:W3CDTF">2023-03-20T09:08:09Z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