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0"/>
          <w:tab w:val="left" w:pos="7560"/>
        </w:tabs>
        <w:spacing w:line="48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长沙市轨道交通1、2、3号线运营期2023年度屏蔽门专业物资采购项目</w:t>
      </w:r>
      <w:r>
        <w:rPr>
          <w:rFonts w:hint="eastAsia"/>
          <w:b/>
          <w:bCs/>
          <w:sz w:val="28"/>
          <w:szCs w:val="28"/>
        </w:rPr>
        <w:t>澄清答疑文件</w:t>
      </w:r>
    </w:p>
    <w:p>
      <w:pPr>
        <w:pStyle w:val="6"/>
        <w:widowControl/>
        <w:spacing w:beforeAutospacing="0" w:afterAutospacing="0" w:line="480" w:lineRule="exact"/>
        <w:ind w:firstLine="54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长沙市轨道交通1、2、3号线运营期2023年度屏蔽门专业物资采购项目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长轨运物采【2023】007号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）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提出疑问时间已按竞价公告的规定时间（202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日17：00）截止。有单位提出了澄清提疑，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提交的问题经过汇总归类，类似问题不逐个答复。本次澄清与答疑答复如下：</w:t>
      </w:r>
      <w:bookmarkStart w:id="0" w:name="_GoBack"/>
      <w:bookmarkEnd w:id="0"/>
    </w:p>
    <w:p>
      <w:pPr>
        <w:tabs>
          <w:tab w:val="left" w:pos="7350"/>
          <w:tab w:val="left" w:pos="7560"/>
        </w:tabs>
        <w:spacing w:line="48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一、对网上报价文件的澄清</w:t>
      </w:r>
    </w:p>
    <w:p>
      <w:pPr>
        <w:tabs>
          <w:tab w:val="left" w:pos="7350"/>
          <w:tab w:val="left" w:pos="7560"/>
        </w:tabs>
        <w:spacing w:line="480" w:lineRule="exact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特别提醒：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长沙市轨道交通1、2、3号线运营期2023年度屏蔽门专业物资采购项目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长轨运物采【2023】007号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）竞价</w:t>
      </w:r>
      <w:r>
        <w:rPr>
          <w:rFonts w:hint="eastAsia" w:ascii="宋体" w:hAnsi="宋体" w:eastAsia="宋体" w:cs="宋体"/>
          <w:szCs w:val="21"/>
        </w:rPr>
        <w:t>公告规定：</w:t>
      </w:r>
    </w:p>
    <w:p>
      <w:pPr>
        <w:tabs>
          <w:tab w:val="left" w:pos="7350"/>
          <w:tab w:val="left" w:pos="7560"/>
        </w:tabs>
        <w:spacing w:line="48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接受澄清则按规定流程重新发布网上竞价公告，原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需重新报价，相关公告在长沙市轨道交通集团有限公司官网“www.hncsmtr.com”、</w:t>
      </w:r>
      <w:r>
        <w:rPr>
          <w:rFonts w:hint="eastAsia" w:ascii="宋体" w:hAnsi="宋体" w:eastAsia="宋体" w:cs="宋体"/>
          <w:snapToGrid w:val="0"/>
          <w:szCs w:val="21"/>
        </w:rPr>
        <w:t>长沙市轨道交通集团有限公司在线采购平台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napToGrid w:val="0"/>
          <w:szCs w:val="21"/>
        </w:rPr>
        <w:t>https://opp.hncsmtr.com:9001/index.aspx</w:t>
      </w:r>
      <w:r>
        <w:rPr>
          <w:rFonts w:hint="eastAsia" w:ascii="宋体" w:hAnsi="宋体" w:eastAsia="宋体" w:cs="宋体"/>
          <w:szCs w:val="21"/>
        </w:rPr>
        <w:t>”发布，敬请所有参与报价的单位关注。如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不接受澄清则按原公告要求执行。以上两种情形均不另行通知，参与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如有遗漏，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概不负责。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保留是否接受澄清意见的权利。</w:t>
      </w:r>
    </w:p>
    <w:p>
      <w:pPr>
        <w:tabs>
          <w:tab w:val="left" w:pos="7350"/>
          <w:tab w:val="left" w:pos="7560"/>
        </w:tabs>
        <w:spacing w:line="480" w:lineRule="exact"/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二、对</w:t>
      </w:r>
      <w:r>
        <w:rPr>
          <w:rFonts w:hint="eastAsia" w:ascii="宋体" w:hAnsi="宋体" w:cs="宋体"/>
          <w:b/>
          <w:bCs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szCs w:val="21"/>
        </w:rPr>
        <w:t>问题的回复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83"/>
        <w:gridCol w:w="2338"/>
        <w:gridCol w:w="2376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61" w:type="pct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577" w:type="pct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物料名称</w:t>
            </w:r>
          </w:p>
        </w:tc>
        <w:tc>
          <w:tcPr>
            <w:tcW w:w="1372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澄清前</w:t>
            </w:r>
          </w:p>
        </w:tc>
        <w:tc>
          <w:tcPr>
            <w:tcW w:w="1394" w:type="pct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供应商提出的</w:t>
            </w:r>
            <w:r>
              <w:rPr>
                <w:rFonts w:ascii="宋体" w:hAnsi="宋体" w:cs="宋体"/>
                <w:sz w:val="18"/>
                <w:szCs w:val="18"/>
              </w:rPr>
              <w:t>质疑</w:t>
            </w:r>
          </w:p>
        </w:tc>
        <w:tc>
          <w:tcPr>
            <w:tcW w:w="1394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澄清后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61" w:type="pct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7" w:type="pct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2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94" w:type="pct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4" w:type="pct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</w:t>
            </w:r>
          </w:p>
        </w:tc>
        <w:tc>
          <w:tcPr>
            <w:tcW w:w="1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品牌：施耐德</w:t>
            </w:r>
          </w:p>
          <w:p>
            <w:pPr>
              <w:keepNext w:val="0"/>
              <w:keepLines w:val="0"/>
              <w:widowControl/>
              <w:suppressLineNumbers w:val="0"/>
              <w:ind w:left="400" w:hanging="36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型号：Premium、Tm218LDAE40DRPHN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技术参数：PLC Premium、Tm218LDAE40DRPHN、电源AC220V、24点输入（含4路高数计数），12点继电器输出（2A)，4点晶体管输出（含2路PTO/PWm)，带以太网口，需带长沙地铁1号线1期工程屏蔽门系统MMS监控程序。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0308030072 处理器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0308110003 4槽底板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0308150002 224K存储卡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0308150003 CANopen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0308040078 电源模块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0311990261 扩展机架终结器对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0308030103 M218控制器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0307030016 16口的数字输入模块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0307030017 16口的数字输出模块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第17项 *PLC 1套 提问：采购型号已停产，请取消品牌型号限制，采用原设备厂家南京康尼机电股份有限公司自主研发的通讯服务器，可完全替代原设备所有功能。 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此产品未停产，可以按原型号采购。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快速以太网收发器</w:t>
            </w:r>
          </w:p>
        </w:tc>
        <w:tc>
          <w:tcPr>
            <w:tcW w:w="1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规格：XC-100N 20KM.A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技术参数：快速以太网收发器，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产品型号百兆单模单纤 XC-100N 20KM.A，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光口类型：SC单纤双向，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光口速率：155Mbit/s-10/100M，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工作波长：TX 1310NM/RX 1550nm，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电源适配：AC 90V-265V DC5V1A，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外形尺寸：94mm*70mm*25mm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第18项 快速以太网收发器5个 提问：为了保证与现场匹配兼容，请提供产品实物图片或完整型号。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26490" cy="840105"/>
                  <wp:effectExtent l="0" t="0" r="16510" b="1714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91870" cy="646430"/>
                  <wp:effectExtent l="0" t="0" r="17780" b="1270"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相关实物照片请参考此图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1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额定电压：12-240 V AC/DC 50/60 Hz；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额定电流：8A；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触点类型：1C/0；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宽*高*深：17.5*90*72mm；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延时范围：1-10h、0.1-1S、6-60s、10-100h、6-60min、1-10s、1-10 min；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第19项 时间继电器27只 提问：为了保证与现场匹配兼容，请提供产品实物图片或完整型号。 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69010" cy="1208405"/>
                  <wp:effectExtent l="0" t="0" r="2540" b="10795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相关实物照片请参考此图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固定门</w:t>
            </w:r>
          </w:p>
        </w:tc>
        <w:tc>
          <w:tcPr>
            <w:tcW w:w="1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固定门FIX1，高度2145mm 宽度2394mm。门体采用304不锈钢边框及钢化玻璃构成（均质处理且玻璃厚度不小于10mm）。边框设有彩釉边，用以遮挡门框结构，门玻璃上设防撞标识。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第21项 固定门1扇 提问：为了保证与现场完全匹配，请提供产品生产方信息或图纸 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07465" cy="666750"/>
                  <wp:effectExtent l="0" t="0" r="6985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41755" cy="393065"/>
                  <wp:effectExtent l="0" t="0" r="10795" b="6985"/>
                  <wp:docPr id="1" name="图片 1" descr="730733ce559242f19791e438ae106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30733ce559242f19791e438ae1062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相关实物照片请参考此图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固定门</w:t>
            </w:r>
          </w:p>
        </w:tc>
        <w:tc>
          <w:tcPr>
            <w:tcW w:w="1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固定门FIX2，高度2145mm 宽度1993mm。门体采用304不锈钢边框及钢化玻璃构成（均质处理且玻璃厚度不小于10mm）。边框设有彩釉边，用以遮挡门框结构，门玻璃上设防撞标识。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第22项 固定门1扇 提问：为了保证与现场完全匹配，请提供产品生产方信息或图纸 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920750" cy="495300"/>
                  <wp:effectExtent l="0" t="0" r="12700" b="0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05840" cy="685165"/>
                  <wp:effectExtent l="0" t="0" r="3810" b="635"/>
                  <wp:docPr id="3" name="图片 3" descr="6ae77865de994e02a13a848637916c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ae77865de994e02a13a848637916c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相关实物照片请参考此图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61" w:type="pc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应急门门头灯电缆</w:t>
            </w:r>
          </w:p>
        </w:tc>
        <w:tc>
          <w:tcPr>
            <w:tcW w:w="1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规格：4*1mm²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技术参数：DWZB RYY 4*1mm²铜芯、多股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序号20项(应急门门头灯电缆)提报参数：DWZB RYY 为无卤低烟阻燃产品，正确为: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WDZB RYY 4*1mm²，W（无卤）D（低烟）Z（阻燃）B级，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市面上不存在DWZB RYY，请核实.</w:t>
            </w:r>
          </w:p>
        </w:tc>
        <w:tc>
          <w:tcPr>
            <w:tcW w:w="1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实物参数为：WDZB RYY 4*1mm²，W（无卤）D（低烟）Z（阻燃）B级。</w:t>
            </w:r>
          </w:p>
        </w:tc>
      </w:tr>
    </w:tbl>
    <w:p>
      <w:pPr>
        <w:tabs>
          <w:tab w:val="left" w:pos="7350"/>
          <w:tab w:val="left" w:pos="7560"/>
        </w:tabs>
        <w:spacing w:line="48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WY5ZmZiMGUxNTM4NTVkMTJkMzM2MDI5NGRjZTQifQ=="/>
    <w:docVar w:name="KSO_WPS_MARK_KEY" w:val="541923f4-1e0c-422a-9d37-5f346ad1bb61"/>
  </w:docVars>
  <w:rsids>
    <w:rsidRoot w:val="009010CD"/>
    <w:rsid w:val="000915F5"/>
    <w:rsid w:val="00331FD1"/>
    <w:rsid w:val="0036383A"/>
    <w:rsid w:val="003B1758"/>
    <w:rsid w:val="00542E90"/>
    <w:rsid w:val="005C6709"/>
    <w:rsid w:val="006119AF"/>
    <w:rsid w:val="006438AA"/>
    <w:rsid w:val="0071171B"/>
    <w:rsid w:val="009010CD"/>
    <w:rsid w:val="00CD07C2"/>
    <w:rsid w:val="048A7797"/>
    <w:rsid w:val="056D660A"/>
    <w:rsid w:val="06312F2E"/>
    <w:rsid w:val="07B53E0C"/>
    <w:rsid w:val="0DFB3BCB"/>
    <w:rsid w:val="0F9053E9"/>
    <w:rsid w:val="11465E26"/>
    <w:rsid w:val="18271526"/>
    <w:rsid w:val="19B178A8"/>
    <w:rsid w:val="1A3B555D"/>
    <w:rsid w:val="1A9A7E20"/>
    <w:rsid w:val="1DDC13EA"/>
    <w:rsid w:val="213D7E0C"/>
    <w:rsid w:val="27327F18"/>
    <w:rsid w:val="27680FB1"/>
    <w:rsid w:val="2ACF5840"/>
    <w:rsid w:val="2B812537"/>
    <w:rsid w:val="2FE50690"/>
    <w:rsid w:val="36076CF3"/>
    <w:rsid w:val="36871D19"/>
    <w:rsid w:val="37C164D8"/>
    <w:rsid w:val="39243934"/>
    <w:rsid w:val="3AAA60BB"/>
    <w:rsid w:val="3AF16A9A"/>
    <w:rsid w:val="3B160D94"/>
    <w:rsid w:val="3B716BD9"/>
    <w:rsid w:val="3DDC40A4"/>
    <w:rsid w:val="41E96961"/>
    <w:rsid w:val="463C1155"/>
    <w:rsid w:val="49AB61F5"/>
    <w:rsid w:val="4E257ADB"/>
    <w:rsid w:val="550633C2"/>
    <w:rsid w:val="59B617F6"/>
    <w:rsid w:val="65CC7B85"/>
    <w:rsid w:val="65D200F0"/>
    <w:rsid w:val="66DC6D4D"/>
    <w:rsid w:val="69D64605"/>
    <w:rsid w:val="6C0A6008"/>
    <w:rsid w:val="6ED04CB0"/>
    <w:rsid w:val="6FE0340A"/>
    <w:rsid w:val="787341AC"/>
    <w:rsid w:val="78F661EE"/>
    <w:rsid w:val="7F4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ordWrap w:val="0"/>
      <w:spacing w:beforeAutospacing="1" w:afterAutospacing="1"/>
      <w:jc w:val="left"/>
    </w:pPr>
    <w:rPr>
      <w:spacing w:val="30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1318</Words>
  <Characters>1788</Characters>
  <Lines>8</Lines>
  <Paragraphs>2</Paragraphs>
  <TotalTime>0</TotalTime>
  <ScaleCrop>false</ScaleCrop>
  <LinksUpToDate>false</LinksUpToDate>
  <CharactersWithSpaces>1859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shenmin</dc:creator>
  <cp:lastModifiedBy>奉翔</cp:lastModifiedBy>
  <cp:lastPrinted>2021-10-14T08:12:00Z</cp:lastPrinted>
  <dcterms:modified xsi:type="dcterms:W3CDTF">2023-03-23T07:13:20Z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A59C6B754F21444B9504EBDEB042B7BC</vt:lpwstr>
  </property>
</Properties>
</file>