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350"/>
          <w:tab w:val="left" w:pos="7560"/>
        </w:tabs>
        <w:spacing w:line="480" w:lineRule="exact"/>
        <w:jc w:val="center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长沙市轨道交通1、2、3号线运营期2023年度低压专业物资采购项目澄清答疑文件</w:t>
      </w:r>
    </w:p>
    <w:p>
      <w:pPr>
        <w:pStyle w:val="7"/>
        <w:widowControl/>
        <w:spacing w:beforeAutospacing="0" w:afterAutospacing="0" w:line="480" w:lineRule="exact"/>
        <w:ind w:firstLine="540"/>
        <w:jc w:val="both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eastAsia="zh-CN"/>
        </w:rPr>
        <w:t>长沙市轨道交通1、2、3号线运营期2023年度低压专业物资采购项目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（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eastAsia="zh-CN"/>
        </w:rPr>
        <w:t>长轨运物采【2023】006号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）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eastAsia="zh-CN"/>
        </w:rPr>
        <w:t>供应商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提出疑问时间已按竞价公告的规定时间（202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年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月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日17：00）截止。有单位提出了澄清提疑，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eastAsia="zh-CN"/>
        </w:rPr>
        <w:t>供应商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提交的问题经过汇总归类，类似问题不逐个答复。本次澄清与答疑答复如下：</w:t>
      </w:r>
    </w:p>
    <w:p>
      <w:pPr>
        <w:tabs>
          <w:tab w:val="left" w:pos="7350"/>
          <w:tab w:val="left" w:pos="7560"/>
        </w:tabs>
        <w:spacing w:line="480" w:lineRule="exact"/>
        <w:ind w:firstLine="420" w:firstLineChars="200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一、对网上报价文件的澄清</w:t>
      </w:r>
    </w:p>
    <w:p>
      <w:pPr>
        <w:tabs>
          <w:tab w:val="left" w:pos="7350"/>
          <w:tab w:val="left" w:pos="7560"/>
        </w:tabs>
        <w:spacing w:line="480" w:lineRule="exact"/>
        <w:ind w:firstLine="42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特别提醒：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eastAsia="zh-CN"/>
        </w:rPr>
        <w:t>长沙市轨道交通1、2、3号线运营期2023年度低压专业物资采购项目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（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  <w:lang w:eastAsia="zh-CN"/>
        </w:rPr>
        <w:t>长轨运物采【2023】006号</w:t>
      </w:r>
      <w:r>
        <w:rPr>
          <w:rFonts w:hint="eastAsia" w:ascii="宋体" w:hAnsi="宋体" w:eastAsia="宋体" w:cs="宋体"/>
          <w:spacing w:val="0"/>
          <w:kern w:val="2"/>
          <w:sz w:val="21"/>
          <w:szCs w:val="21"/>
        </w:rPr>
        <w:t>）竞价</w:t>
      </w:r>
      <w:r>
        <w:rPr>
          <w:rFonts w:hint="eastAsia" w:ascii="宋体" w:hAnsi="宋体" w:eastAsia="宋体" w:cs="宋体"/>
          <w:szCs w:val="21"/>
        </w:rPr>
        <w:t>公告规定：</w:t>
      </w:r>
    </w:p>
    <w:p>
      <w:pPr>
        <w:tabs>
          <w:tab w:val="left" w:pos="7350"/>
          <w:tab w:val="left" w:pos="7560"/>
        </w:tabs>
        <w:spacing w:line="48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如</w:t>
      </w:r>
      <w:r>
        <w:rPr>
          <w:rFonts w:hint="eastAsia" w:ascii="宋体" w:hAnsi="宋体" w:eastAsia="宋体" w:cs="宋体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Cs w:val="21"/>
        </w:rPr>
        <w:t>接受澄清则按规定流程重新发布网上竞价公告，原</w:t>
      </w:r>
      <w:r>
        <w:rPr>
          <w:rFonts w:hint="eastAsia" w:ascii="宋体" w:hAnsi="宋体" w:eastAsia="宋体" w:cs="宋体"/>
          <w:szCs w:val="21"/>
          <w:lang w:eastAsia="zh-CN"/>
        </w:rPr>
        <w:t>供应商</w:t>
      </w:r>
      <w:r>
        <w:rPr>
          <w:rFonts w:hint="eastAsia" w:ascii="宋体" w:hAnsi="宋体" w:eastAsia="宋体" w:cs="宋体"/>
          <w:szCs w:val="21"/>
        </w:rPr>
        <w:t>需重新报价，相关公告在长沙市轨道交通集团有限公司官网“www.hncsmtr.com”、</w:t>
      </w:r>
      <w:r>
        <w:rPr>
          <w:rFonts w:hint="eastAsia" w:ascii="宋体" w:hAnsi="宋体" w:eastAsia="宋体" w:cs="宋体"/>
          <w:snapToGrid w:val="0"/>
          <w:szCs w:val="21"/>
        </w:rPr>
        <w:t>长沙市轨道交通集团有限公司在线采购平台</w:t>
      </w:r>
      <w:r>
        <w:rPr>
          <w:rFonts w:hint="eastAsia" w:ascii="宋体" w:hAnsi="宋体" w:eastAsia="宋体" w:cs="宋体"/>
          <w:szCs w:val="21"/>
        </w:rPr>
        <w:t>“</w:t>
      </w:r>
      <w:r>
        <w:rPr>
          <w:rFonts w:hint="eastAsia" w:ascii="宋体" w:hAnsi="宋体" w:eastAsia="宋体" w:cs="宋体"/>
          <w:snapToGrid w:val="0"/>
          <w:szCs w:val="21"/>
        </w:rPr>
        <w:t>https://opp.hncsmtr.com:9001/index.aspx</w:t>
      </w:r>
      <w:r>
        <w:rPr>
          <w:rFonts w:hint="eastAsia" w:ascii="宋体" w:hAnsi="宋体" w:eastAsia="宋体" w:cs="宋体"/>
          <w:szCs w:val="21"/>
        </w:rPr>
        <w:t>”发布，敬请所有参与报价的单位关注。如</w:t>
      </w:r>
      <w:r>
        <w:rPr>
          <w:rFonts w:hint="eastAsia" w:ascii="宋体" w:hAnsi="宋体" w:eastAsia="宋体" w:cs="宋体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Cs w:val="21"/>
        </w:rPr>
        <w:t>不接受澄清则按原公告要求执行。以上两种情形均不另行通知，参与</w:t>
      </w:r>
      <w:r>
        <w:rPr>
          <w:rFonts w:hint="eastAsia" w:ascii="宋体" w:hAnsi="宋体" w:eastAsia="宋体" w:cs="宋体"/>
          <w:szCs w:val="21"/>
          <w:lang w:eastAsia="zh-CN"/>
        </w:rPr>
        <w:t>供应商</w:t>
      </w:r>
      <w:r>
        <w:rPr>
          <w:rFonts w:hint="eastAsia" w:ascii="宋体" w:hAnsi="宋体" w:eastAsia="宋体" w:cs="宋体"/>
          <w:szCs w:val="21"/>
        </w:rPr>
        <w:t>如有遗漏，</w:t>
      </w:r>
      <w:r>
        <w:rPr>
          <w:rFonts w:hint="eastAsia" w:ascii="宋体" w:hAnsi="宋体" w:eastAsia="宋体" w:cs="宋体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Cs w:val="21"/>
        </w:rPr>
        <w:t>概不负责。</w:t>
      </w:r>
      <w:r>
        <w:rPr>
          <w:rFonts w:hint="eastAsia" w:ascii="宋体" w:hAnsi="宋体" w:eastAsia="宋体" w:cs="宋体"/>
          <w:szCs w:val="21"/>
          <w:lang w:eastAsia="zh-CN"/>
        </w:rPr>
        <w:t>采购人</w:t>
      </w:r>
      <w:r>
        <w:rPr>
          <w:rFonts w:hint="eastAsia" w:ascii="宋体" w:hAnsi="宋体" w:eastAsia="宋体" w:cs="宋体"/>
          <w:szCs w:val="21"/>
        </w:rPr>
        <w:t>保留是否接受澄清意见的权利。</w:t>
      </w:r>
    </w:p>
    <w:p>
      <w:pPr>
        <w:tabs>
          <w:tab w:val="left" w:pos="7350"/>
          <w:tab w:val="left" w:pos="7560"/>
        </w:tabs>
        <w:spacing w:line="480" w:lineRule="exact"/>
        <w:ind w:firstLine="420" w:firstLineChars="20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二、对</w:t>
      </w:r>
      <w:r>
        <w:rPr>
          <w:rFonts w:hint="eastAsia" w:ascii="宋体" w:hAnsi="宋体" w:cs="宋体"/>
          <w:b/>
          <w:bCs/>
          <w:szCs w:val="21"/>
          <w:lang w:eastAsia="zh-CN"/>
        </w:rPr>
        <w:t>供应商</w:t>
      </w:r>
      <w:r>
        <w:rPr>
          <w:rFonts w:hint="eastAsia" w:ascii="宋体" w:hAnsi="宋体" w:cs="宋体"/>
          <w:b/>
          <w:bCs/>
          <w:szCs w:val="21"/>
        </w:rPr>
        <w:t>问题的回复</w:t>
      </w:r>
    </w:p>
    <w:tbl>
      <w:tblPr>
        <w:tblStyle w:val="9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1058"/>
        <w:gridCol w:w="1865"/>
        <w:gridCol w:w="1833"/>
        <w:gridCol w:w="3119"/>
      </w:tblGrid>
      <w:tr>
        <w:trPr>
          <w:trHeight w:val="673" w:hRule="atLeast"/>
          <w:jc w:val="center"/>
        </w:trPr>
        <w:tc>
          <w:tcPr>
            <w:tcW w:w="377" w:type="pct"/>
            <w:vMerge w:val="restar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序号</w:t>
            </w:r>
          </w:p>
        </w:tc>
        <w:tc>
          <w:tcPr>
            <w:tcW w:w="620" w:type="pct"/>
            <w:vMerge w:val="restar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物料名称</w:t>
            </w:r>
          </w:p>
        </w:tc>
        <w:tc>
          <w:tcPr>
            <w:tcW w:w="1094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澄清前</w:t>
            </w:r>
          </w:p>
        </w:tc>
        <w:tc>
          <w:tcPr>
            <w:tcW w:w="1075" w:type="pct"/>
            <w:vMerge w:val="restar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供应商提出的</w:t>
            </w:r>
            <w:r>
              <w:rPr>
                <w:rFonts w:ascii="宋体" w:hAnsi="宋体" w:cs="宋体"/>
                <w:sz w:val="18"/>
                <w:szCs w:val="18"/>
              </w:rPr>
              <w:t>质疑</w:t>
            </w:r>
          </w:p>
        </w:tc>
        <w:tc>
          <w:tcPr>
            <w:tcW w:w="1830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澄清后</w:t>
            </w:r>
          </w:p>
        </w:tc>
      </w:tr>
      <w:tr>
        <w:trPr>
          <w:trHeight w:val="809" w:hRule="atLeast"/>
          <w:jc w:val="center"/>
        </w:trPr>
        <w:tc>
          <w:tcPr>
            <w:tcW w:w="377" w:type="pct"/>
            <w:vMerge w:val="continue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620" w:type="pct"/>
            <w:vMerge w:val="continue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094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品牌、规格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型号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技术参数</w:t>
            </w:r>
          </w:p>
        </w:tc>
        <w:tc>
          <w:tcPr>
            <w:tcW w:w="1075" w:type="pct"/>
            <w:vMerge w:val="continue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830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品牌、规格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型号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技术参数</w:t>
            </w:r>
          </w:p>
        </w:tc>
      </w:tr>
      <w:tr>
        <w:trPr>
          <w:trHeight w:val="779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1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PLC控制器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技术参数：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</w:rPr>
              <w:t>PLC控制器  64点（40入/24出） 四个扩展  DC24V  DC24V输入  输出/每点2A   4路100KHz高频计数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物资清单中序号为20物资提问、1、专用产品，不同品牌的产品无法兼容使用，请提供所需产品的正确型号及实物图片；2、该产品只是硬件，软件需要贵司自己导入才能使用，请确认是否可以。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00405" cy="741045"/>
                  <wp:effectExtent l="0" t="0" r="4445" b="1905"/>
                  <wp:docPr id="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741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eastAsia="zh-CN"/>
              </w:rPr>
              <w:t>不同品牌不能通用，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只需硬件不需要导入程序，相关实物照片请参考此图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>
        <w:trPr>
          <w:trHeight w:val="779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变频器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技术参数：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变频器18KW 3P 380VAC 普通涂层，集成EMC，简易面板；适用380V 3相18KW/3 hp。通讯端口协议：CANopen、串口Modbus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物资清单中序号为21物资提问、专用产品，不同品牌的产品无法兼容使用，且无18KW的，请确认是否为18.5KW的；并提供所需产品的正确型号、编码及实物图片。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</w:pPr>
            <w:r>
              <w:drawing>
                <wp:inline distT="0" distB="0" distL="114300" distR="114300">
                  <wp:extent cx="760095" cy="633730"/>
                  <wp:effectExtent l="0" t="0" r="1905" b="139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eastAsia="zh-CN"/>
              </w:rPr>
              <w:t>实物为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18.5KW，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/>
                <w:lang w:val="en-US" w:eastAsia="zh-CN"/>
              </w:rPr>
            </w:pPr>
          </w:p>
        </w:tc>
      </w:tr>
      <w:tr>
        <w:trPr>
          <w:trHeight w:val="779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UPS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技术参数：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1KVA/800W，3小时续航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标准和认证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IEC61000，IEC62040，GB7260，GB4943TLC/节能认证广电认证/ CQC Read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Rs232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标配扩展插槽（选配可选择NMC卡CMC卡，AS400卡或USB卡讯和监控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EPO（选配关断软件Winpower）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物资清单中序号为25物资提问.根据参数描述，行业中所有1KVA/800W的UPS内置电池均无法达到3小时续航标准这个参数，如需达到3小时续航，需要配置增加外接电池及电池柜。请确认是否可以。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val="en-US" w:eastAsia="zh-CN"/>
              </w:rPr>
              <w:t>可以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</w:rPr>
              <w:t>增加外接电池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highlight w:val="none"/>
                <w:shd w:val="clear" w:fill="FFFFFF"/>
                <w:lang w:eastAsia="zh-CN"/>
              </w:rPr>
              <w:t>，不需配置电池柜</w:t>
            </w:r>
          </w:p>
        </w:tc>
      </w:tr>
      <w:tr>
        <w:trPr>
          <w:trHeight w:val="779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主/备电切换板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主备电切换功能； 输出电流检测；市电电压检测； 备电在线检测；强制应急转换；与主板通讯。输入：220VAC(交流),216VDC(电池组)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输出：交流，直流 二选一输出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kern w:val="2"/>
                <w:sz w:val="18"/>
                <w:szCs w:val="18"/>
                <w:shd w:val="clear" w:fill="FFFFFF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物资清单中序号为1物资提问：此项物资为专用产品，不同品牌的产品无法兼容使用，请提供现场设备品牌、完整型号及所需产品的实物图片。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798320" cy="1269365"/>
                  <wp:effectExtent l="0" t="0" r="11430" b="6985"/>
                  <wp:docPr id="1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1269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  <w:p>
            <w:pPr>
              <w:pStyle w:val="6"/>
              <w:keepNext w:val="0"/>
              <w:keepLines w:val="0"/>
              <w:widowControl/>
              <w:suppressLineNumbers w:val="0"/>
              <w:wordWrap w:val="0"/>
              <w:ind w:left="0" w:firstLine="0"/>
              <w:jc w:val="left"/>
              <w:rPr>
                <w:rFonts w:hint="default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</w:pP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  <w:t>5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充电板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充电板有9路相互隔离的充电模块，分别对9组电池实现充电功能；9组模块单独与电池通讯 板进行通讯，接收主板显示控制板的控制信号；模块之间相互隔离；每组模块从220VAC转成15VDC ,控制器控制充电电路对电池进行充电管理； 每台机器有2块充电板板，管理18节电池。输入：220V, 隔离通信输入。输出：18节电池接口。充电板具有均充、浮充、高低压报警等电池管理功能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kern w:val="2"/>
                <w:sz w:val="18"/>
                <w:szCs w:val="18"/>
                <w:shd w:val="clear" w:fill="FFFFFF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3该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49120" cy="855980"/>
                  <wp:effectExtent l="0" t="0" r="17780" b="1270"/>
                  <wp:docPr id="1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20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6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电池通信转换板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显示控制板板与电池通讯转换板的通讯隔离；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实现显示控制板板与18路充电板 板通讯，扩展通讯口；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串口TX,RX，通过光耦隔离，分出18路TX,RX与PB的18路通信口通信。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输入：显示控制板 板TX,RX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输出：18路TX,RX输出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5该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drawing>
                <wp:inline distT="0" distB="0" distL="114300" distR="114300">
                  <wp:extent cx="971550" cy="1123950"/>
                  <wp:effectExtent l="0" t="0" r="19050" b="19050"/>
                  <wp:docPr id="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  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7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充电模块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充电模块性能：接入交流输入电压，模块启动后，风扇低速平稳旋转，输出正常指示灯绿灯亮。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C输入范围：当输入的交流电电压在285±5V时，绿灯亮；当输入的交流电电压在455±5V时。绿灯灭。限流特性：交流输入电压为380V，增加负载至输出电流不再增加为止，此时输出电流为6±0.3A。AC缺项特性：启动模块，交流输入缺相，限流点降为3A±10%同时故障灯闪烁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机输出电压以及均浮转换：启动模块，调节交流输入电压为380V，负载调至3A（制式为均充），均充灯亮，直流输出电压为248±2V。负载降至1A（制式为浮充），均充灯灭，直流输出电压为238±2V。风扇堵转（风扇故障）：手动使风扇发生堵转后，温度升高后，模块关机保护，输出故障指示灯红灯亮；故障消除后，等待温度降低后，模块输出恢复正常。DC输出短路保护：将直流输出两端短路，输出电压≤5V，消除故障后，模块输出恢复正常。DC过压保护：当充电器输出端电压在265V±5V范围内时充电器输出过压保护，充电器自动切断输出。充电管理：参数可调，系统默认均充时间为10小时，周期90天，均充电压248V，浮充电压238V，充电限流点6A。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7该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63575" cy="847090"/>
                  <wp:effectExtent l="0" t="0" r="3175" b="1016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63575" cy="84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44525" cy="859155"/>
                  <wp:effectExtent l="0" t="0" r="3175" b="17145"/>
                  <wp:docPr id="1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85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655955" cy="874395"/>
                  <wp:effectExtent l="0" t="0" r="10795" b="1905"/>
                  <wp:docPr id="1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8"/>
                <w:szCs w:val="18"/>
                <w:shd w:val="clear" w:fill="FFFFFF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8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双电源自动转换开关 （CB级）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额定电压：380V，壳架电流：160A，额定电流125A，绝缘电压：380V，极数：4，额定冲击耐受电压：4KV，转换延时时间设定：内置1.5S，运行模式设定：自投自复/互为备用/自投不自复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8该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drawing>
                <wp:inline distT="0" distB="0" distL="114300" distR="114300">
                  <wp:extent cx="2263140" cy="1026795"/>
                  <wp:effectExtent l="0" t="0" r="381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18"/>
                <w:szCs w:val="18"/>
                <w:lang w:eastAsia="zh-CN"/>
              </w:rPr>
              <w:t>不同品牌不能通用，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eastAsia="zh-CN"/>
              </w:rPr>
            </w:pP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9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双电源自动转换开关 （CB级）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额定电压：380V，额定电流25A，绝缘电压：380V，极数：4，额定冲击耐受电压：4KV，转换延时时间设定：内置1.5S，运行模式设定：自投自复/互为备用/自投不自复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9该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8"/>
                <w:szCs w:val="18"/>
                <w:shd w:val="clear" w:fill="FFFFFF"/>
                <w:lang w:eastAsia="zh-CN"/>
              </w:rPr>
              <w:drawing>
                <wp:inline distT="0" distB="0" distL="114300" distR="114300">
                  <wp:extent cx="2046605" cy="1156970"/>
                  <wp:effectExtent l="0" t="0" r="10795" b="5080"/>
                  <wp:docPr id="20" name="图片 20" descr="6b93b36b29ee482f8d68d04a4516ba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6b93b36b29ee482f8d68d04a4516bad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不同品牌不能通用，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</w:tc>
      </w:tr>
      <w:tr>
        <w:trPr>
          <w:trHeight w:val="5722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10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双电源自动转换开关 （CB级）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额定电压：380V，额定电流80A，绝缘电压：380V，极数：4，额定冲击耐受电压：4KV，转换延时时间设定：内置1.5S，运行模式设定：自投自复/互为备用/自投不自复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10该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FF0000"/>
                <w:spacing w:val="0"/>
                <w:sz w:val="18"/>
                <w:szCs w:val="18"/>
                <w:shd w:val="clear" w:fill="FFFFFF"/>
                <w:lang w:val="en-US" w:eastAsia="zh-CN"/>
              </w:rPr>
              <w:drawing>
                <wp:inline distT="0" distB="0" distL="114300" distR="114300">
                  <wp:extent cx="2107565" cy="1191260"/>
                  <wp:effectExtent l="0" t="0" r="6985" b="8890"/>
                  <wp:docPr id="21" name="图片 21" descr="6b93b36b29ee482f8d68d04a4516ba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b93b36b29ee482f8d68d04a4516bad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  <w:sz w:val="18"/>
                <w:szCs w:val="18"/>
                <w:lang w:eastAsia="zh-CN"/>
              </w:rPr>
              <w:t>不同品牌不能通用，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11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监控模块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交流输入额定电压：220V，50HZ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电压变化范围：220V±15%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频率变化范围：50HZ±10%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直流输出额定值：10A/230V（KS1B10）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20A/115V（KS1A20）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直流输出电压：180V-286V（KS1B10）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90V-155V（KS1A20）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输出限流范围：5%-105%*额定电流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可闻噪声：≤55dB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工作环境温度：-5℃-- +45℃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模块尺寸：219.5*160（面板尺寸），199*155*329（箱体尺寸）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11该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226820" cy="2191385"/>
                  <wp:effectExtent l="0" t="0" r="11430" b="184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12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智能楼宇集中器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供4口RS-485信号集中功能。 内部集成两个485集线器，电源12V，功率100W。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RS485集线器：将一路RS-485或一路RS-232总线分割为4路RS-485总线。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端口都独立具有光隔、短路、开路保护功能。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12该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14400" cy="1240790"/>
                  <wp:effectExtent l="0" t="0" r="0" b="16510"/>
                  <wp:docPr id="2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4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47750" cy="842010"/>
                  <wp:effectExtent l="0" t="0" r="0" b="15240"/>
                  <wp:docPr id="2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13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电力模块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交流输入额定电压：220V，50HZ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电压变化范围：220V±15%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频率变化范围：50HZ±10%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直流输出额定值：10A/230V（KS1B10）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20A/115V（KS1A20）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直流输出电压：180V-286V（KS1B10）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90V-155V（KS1A20）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输出限流范围：5%-105%*额定电流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可闻噪声：≤55dB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工作环境温度：-5℃-- +45℃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模块尺寸：219.5*160（面板尺寸），199*155*329（箱体尺寸）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13该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物资为专用产品，不同品牌的产品无法兼容使用，请提供现场设备品牌、完整型号及所需产品的实物图片。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742440" cy="1414145"/>
                  <wp:effectExtent l="0" t="0" r="10160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14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显示单元扩展板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EPS显示单元扩展板：输入电压：5V 环氧树脂覆铜箔板 ，与切换单元，显示单元通讯的扩展板卡。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物资清单中序号为17物资提问：专用产品，不同品牌的产品无法兼容使用，请提供EPS主设备铭牌参数图片及所需产品的正确型号和实物图片。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drawing>
                <wp:inline distT="0" distB="0" distL="114300" distR="114300">
                  <wp:extent cx="908050" cy="698500"/>
                  <wp:effectExtent l="0" t="0" r="6350" b="1270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985520" cy="961390"/>
                  <wp:effectExtent l="0" t="0" r="5080" b="10160"/>
                  <wp:docPr id="27" name="图片 27" descr="动力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动力源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15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EPS充电主板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适用于40节12V电池，市电输入：220VAC，充电电压480VDC.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物资清单中序号为18物资提问：专用产品，不同品牌的产品无法兼容使用，请提供EPS主设备铭牌参数图片及所需产品的正确型号和实物图片。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925195" cy="928370"/>
                  <wp:effectExtent l="0" t="0" r="8255" b="508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927100" cy="886460"/>
                  <wp:effectExtent l="0" t="0" r="12700" b="2540"/>
                  <wp:docPr id="16" name="图片 16" descr="华天消防应急电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华天消防应急电源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16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充电模块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直流输出标称电压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492V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直流输出电压范围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443V～575V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直流额定输出电流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5A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效率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≥93%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工作频率范围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47.5~52.5Hz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物资清单中序号为1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9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物资提问：专用产品，不同品牌的产品无法兼容使用，请提供EPS主设备铭牌参数图片及所需产品的正确型号和实物图片。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26160" cy="942975"/>
                  <wp:effectExtent l="0" t="0" r="2540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92175" cy="1191260"/>
                  <wp:effectExtent l="0" t="0" r="3175" b="8890"/>
                  <wp:docPr id="28" name="图片 28" descr="动力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动力源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</w:t>
            </w: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17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Arial" w:hAnsi="Arial" w:eastAsia="宋体" w:cs="Arial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控制板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智能疏散系统分配电内控制板（整块含软件及数据线）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使用24 V~36 V电源配置；使用can总线。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每个电源在一个实时监控系统中，分别配置相应设备。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系统控制器正常运行，支持999个终端点，可同时容纳9999个终端点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智能算法系统录音功能，定制控制器与灾害报警系统联动。利用智能计算火灾疏散系统的黑匣子记录功能，自动调整指示灯方向，可自动存储10000条报警信息；生成最佳的疏散路径。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val="en-US" w:eastAsia="zh-CN"/>
              </w:rPr>
              <w:t>物资清单序号2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3物资提问：专用产品，不同品牌的产品无法兼容使用，请提供EPS主设备铭牌参数图片及所需产品的正确型号和实物图片。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  <w:highlight w:val="green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highlight w:val="green"/>
                <w:lang w:val="en-US" w:eastAsia="zh-CN" w:bidi="ar"/>
              </w:rPr>
              <w:drawing>
                <wp:inline distT="0" distB="0" distL="114300" distR="114300">
                  <wp:extent cx="1440180" cy="1080135"/>
                  <wp:effectExtent l="0" t="0" r="7620" b="571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green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相关实物照片请参考此图，此项不属于EPS主设备配件</w:t>
            </w:r>
          </w:p>
        </w:tc>
      </w:tr>
      <w:tr>
        <w:trPr>
          <w:trHeight w:val="1143" w:hRule="atLeast"/>
          <w:jc w:val="center"/>
        </w:trPr>
        <w:tc>
          <w:tcPr>
            <w:tcW w:w="377" w:type="pct"/>
            <w:vAlign w:val="center"/>
          </w:tcPr>
          <w:p>
            <w:pPr>
              <w:tabs>
                <w:tab w:val="left" w:pos="7350"/>
                <w:tab w:val="left" w:pos="7560"/>
              </w:tabs>
              <w:spacing w:line="520" w:lineRule="exact"/>
              <w:jc w:val="center"/>
              <w:rPr>
                <w:rFonts w:hint="default" w:asciiTheme="minorEastAsia" w:hAnsiTheme="minorEastAsia" w:eastAsiaTheme="minorEastAsia" w:cs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kern w:val="2"/>
                <w:sz w:val="18"/>
                <w:szCs w:val="18"/>
                <w:lang w:val="en-US" w:eastAsia="zh-CN" w:bidi="ar-SA"/>
              </w:rPr>
              <w:t>18</w:t>
            </w:r>
          </w:p>
        </w:tc>
        <w:tc>
          <w:tcPr>
            <w:tcW w:w="62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显示板</w:t>
            </w:r>
          </w:p>
        </w:tc>
        <w:tc>
          <w:tcPr>
            <w:tcW w:w="1094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智能疏散系统分配电内电源显示板（整块含软件及数据线）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使用24 V~36 V电源配置；使用can总线。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每个电源在一个实时监控系统中，分别配置相应设备。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系统控制器正常运行，支持999个终端点，可同时容纳9999个终端点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智能算法系统录音功能，定制控制器与灾害报警系统联动。利用智能计算火灾疏散系统的黑匣子记录功能，自动调整指示灯方向，可自动存储10000条报警信息；生成最佳的疏散路径。</w:t>
            </w:r>
          </w:p>
        </w:tc>
        <w:tc>
          <w:tcPr>
            <w:tcW w:w="1075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  <w:lang w:eastAsia="zh-CN"/>
              </w:rPr>
              <w:t>物资清单序号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FFFFF"/>
              </w:rPr>
              <w:t>24物资提问：专用产品，不同品牌的产品无法兼容使用，请提供EPS主设备铭牌参数图片及所需产品的正确型号和实物图片。</w:t>
            </w:r>
          </w:p>
        </w:tc>
        <w:tc>
          <w:tcPr>
            <w:tcW w:w="18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"/>
              </w:rPr>
              <w:drawing>
                <wp:inline distT="0" distB="0" distL="114300" distR="114300">
                  <wp:extent cx="1136650" cy="662940"/>
                  <wp:effectExtent l="0" t="0" r="6350" b="2286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   </w:t>
            </w:r>
          </w:p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highlight w:val="none"/>
                <w:lang w:val="en-US" w:eastAsia="zh-CN" w:bidi="ar"/>
              </w:rPr>
              <w:t xml:space="preserve">     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highlight w:val="green"/>
                <w:lang w:val="en-US" w:eastAsia="zh-CN" w:bidi="ar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auto"/>
                <w:spacing w:val="0"/>
                <w:sz w:val="18"/>
                <w:szCs w:val="18"/>
                <w:shd w:val="clear" w:fill="FFFFFF"/>
                <w:lang w:val="en-US" w:eastAsia="zh-CN"/>
              </w:rPr>
              <w:t>相关实物照片请参考此图，此项不属于EPS主设备配件</w:t>
            </w:r>
          </w:p>
        </w:tc>
      </w:tr>
    </w:tbl>
    <w:p>
      <w:pPr>
        <w:tabs>
          <w:tab w:val="left" w:pos="7350"/>
          <w:tab w:val="left" w:pos="7560"/>
        </w:tabs>
        <w:spacing w:line="480" w:lineRule="exact"/>
        <w:ind w:firstLine="420" w:firstLineChars="20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5ZWY5ZmZiMGUxNTM4NTVkMTJkMzM2MDI5NGRjZTQifQ=="/>
    <w:docVar w:name="KSO_WPS_MARK_KEY" w:val="71b05d49-cca3-4ce4-b49b-cb11d82f4766"/>
  </w:docVars>
  <w:rsids>
    <w:rsidRoot w:val="009010CD"/>
    <w:rsid w:val="000915F5"/>
    <w:rsid w:val="00331FD1"/>
    <w:rsid w:val="0036383A"/>
    <w:rsid w:val="003B1758"/>
    <w:rsid w:val="00542E90"/>
    <w:rsid w:val="005C6709"/>
    <w:rsid w:val="006119AF"/>
    <w:rsid w:val="006438AA"/>
    <w:rsid w:val="0071171B"/>
    <w:rsid w:val="009010CD"/>
    <w:rsid w:val="00CD07C2"/>
    <w:rsid w:val="06312F2E"/>
    <w:rsid w:val="06A243E4"/>
    <w:rsid w:val="07B57B14"/>
    <w:rsid w:val="09E610A6"/>
    <w:rsid w:val="0B0D4C49"/>
    <w:rsid w:val="0D9A2D06"/>
    <w:rsid w:val="0DFB3BCB"/>
    <w:rsid w:val="0E213113"/>
    <w:rsid w:val="0F452E31"/>
    <w:rsid w:val="113951C5"/>
    <w:rsid w:val="1387553A"/>
    <w:rsid w:val="15F8328E"/>
    <w:rsid w:val="19B27315"/>
    <w:rsid w:val="1A9A7E20"/>
    <w:rsid w:val="1FDC333E"/>
    <w:rsid w:val="21BC6F83"/>
    <w:rsid w:val="27327F18"/>
    <w:rsid w:val="27F75A87"/>
    <w:rsid w:val="2B812537"/>
    <w:rsid w:val="2C5D1363"/>
    <w:rsid w:val="2DF84FC6"/>
    <w:rsid w:val="360328B0"/>
    <w:rsid w:val="39486EEA"/>
    <w:rsid w:val="3A865F28"/>
    <w:rsid w:val="3AB64A60"/>
    <w:rsid w:val="3B8F4DC2"/>
    <w:rsid w:val="3CF80CFE"/>
    <w:rsid w:val="3DDB658B"/>
    <w:rsid w:val="3F1F2A0C"/>
    <w:rsid w:val="3F5C54AA"/>
    <w:rsid w:val="3F9A3776"/>
    <w:rsid w:val="403E770D"/>
    <w:rsid w:val="41EE13D8"/>
    <w:rsid w:val="42C73C7D"/>
    <w:rsid w:val="463C1155"/>
    <w:rsid w:val="4B524331"/>
    <w:rsid w:val="4CF922D2"/>
    <w:rsid w:val="50CB49DE"/>
    <w:rsid w:val="51E86A52"/>
    <w:rsid w:val="5405101F"/>
    <w:rsid w:val="561E6FF5"/>
    <w:rsid w:val="584212F1"/>
    <w:rsid w:val="594246E3"/>
    <w:rsid w:val="5A324FD4"/>
    <w:rsid w:val="62175AD9"/>
    <w:rsid w:val="6E6E2494"/>
    <w:rsid w:val="709341E7"/>
    <w:rsid w:val="709F4953"/>
    <w:rsid w:val="70A265BD"/>
    <w:rsid w:val="7442256E"/>
    <w:rsid w:val="787341AC"/>
    <w:rsid w:val="78F661EE"/>
    <w:rsid w:val="7F2763FE"/>
    <w:rsid w:val="ABFF86C0"/>
    <w:rsid w:val="FDF5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99"/>
    <w:pPr>
      <w:ind w:left="420" w:leftChars="200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unhideWhenUsed/>
    <w:qFormat/>
    <w:uiPriority w:val="99"/>
    <w:pPr>
      <w:wordWrap w:val="0"/>
      <w:spacing w:beforeAutospacing="1" w:afterAutospacing="1"/>
      <w:jc w:val="left"/>
    </w:pPr>
    <w:rPr>
      <w:spacing w:val="30"/>
      <w:kern w:val="0"/>
      <w:sz w:val="24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页眉 字符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font01"/>
    <w:basedOn w:val="10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3858</Words>
  <Characters>4548</Characters>
  <Lines>8</Lines>
  <Paragraphs>2</Paragraphs>
  <TotalTime>0</TotalTime>
  <ScaleCrop>false</ScaleCrop>
  <LinksUpToDate>false</LinksUpToDate>
  <CharactersWithSpaces>4629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shenmin</dc:creator>
  <cp:lastModifiedBy>WPS_1665411407</cp:lastModifiedBy>
  <cp:lastPrinted>2021-10-14T16:12:00Z</cp:lastPrinted>
  <dcterms:modified xsi:type="dcterms:W3CDTF">2023-03-23T16:20:18Z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AB2190DA3E3C4077A4BFB78344A1C60D</vt:lpwstr>
  </property>
</Properties>
</file>