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center"/>
        <w:rPr>
          <w:rFonts w:hint="eastAsia" w:hAnsi="宋体" w:cs="宋体"/>
          <w:b/>
          <w:sz w:val="52"/>
          <w:szCs w:val="52"/>
          <w:highlight w:val="none"/>
        </w:rPr>
      </w:pPr>
    </w:p>
    <w:p>
      <w:pPr>
        <w:pStyle w:val="26"/>
        <w:jc w:val="center"/>
        <w:rPr>
          <w:rFonts w:hAnsi="宋体" w:cs="宋体"/>
          <w:b/>
          <w:bCs/>
          <w:sz w:val="52"/>
          <w:szCs w:val="52"/>
          <w:highlight w:val="none"/>
        </w:rPr>
      </w:pPr>
      <w:r>
        <w:rPr>
          <w:rFonts w:hint="eastAsia" w:hAnsi="宋体" w:cs="宋体"/>
          <w:b/>
          <w:sz w:val="52"/>
          <w:szCs w:val="52"/>
          <w:highlight w:val="none"/>
        </w:rPr>
        <w:t>长沙市轨道交通运营有限公司</w:t>
      </w:r>
    </w:p>
    <w:p>
      <w:pPr>
        <w:pStyle w:val="26"/>
        <w:adjustRightInd w:val="0"/>
        <w:snapToGrid w:val="0"/>
        <w:spacing w:line="360" w:lineRule="auto"/>
        <w:jc w:val="center"/>
        <w:rPr>
          <w:rFonts w:hAnsi="宋体" w:cs="宋体"/>
          <w:b/>
          <w:color w:val="auto"/>
          <w:sz w:val="52"/>
          <w:szCs w:val="52"/>
          <w:highlight w:val="none"/>
        </w:rPr>
      </w:pPr>
      <w:r>
        <w:rPr>
          <w:rFonts w:hint="eastAsia" w:hAnsi="宋体" w:cs="宋体"/>
          <w:b/>
          <w:color w:val="auto"/>
          <w:sz w:val="52"/>
          <w:szCs w:val="52"/>
          <w:highlight w:val="none"/>
        </w:rPr>
        <w:t>自主竞争性谈判文件</w:t>
      </w:r>
    </w:p>
    <w:p>
      <w:pPr>
        <w:pStyle w:val="26"/>
        <w:adjustRightInd w:val="0"/>
        <w:snapToGrid w:val="0"/>
        <w:spacing w:before="120" w:beforeLines="50" w:line="360" w:lineRule="auto"/>
        <w:rPr>
          <w:rFonts w:hAnsi="宋体" w:cs="宋体"/>
          <w:b/>
          <w:color w:val="auto"/>
          <w:sz w:val="32"/>
          <w:szCs w:val="32"/>
          <w:highlight w:val="none"/>
        </w:rPr>
      </w:pPr>
    </w:p>
    <w:p>
      <w:pPr>
        <w:pStyle w:val="26"/>
        <w:adjustRightInd w:val="0"/>
        <w:snapToGrid w:val="0"/>
        <w:spacing w:line="360" w:lineRule="auto"/>
        <w:rPr>
          <w:rFonts w:hAnsi="宋体" w:cs="宋体"/>
          <w:color w:val="auto"/>
          <w:sz w:val="32"/>
          <w:szCs w:val="32"/>
          <w:highlight w:val="none"/>
        </w:rPr>
      </w:pPr>
    </w:p>
    <w:p>
      <w:pPr>
        <w:pStyle w:val="26"/>
        <w:adjustRightInd w:val="0"/>
        <w:snapToGrid w:val="0"/>
        <w:spacing w:line="360" w:lineRule="auto"/>
        <w:ind w:left="2887" w:leftChars="304" w:hanging="2249" w:hangingChars="700"/>
        <w:rPr>
          <w:rFonts w:hint="eastAsia" w:hAnsi="宋体" w:cs="宋体"/>
          <w:b/>
          <w:color w:val="auto"/>
          <w:sz w:val="32"/>
          <w:highlight w:val="none"/>
          <w:u w:val="single"/>
          <w:lang w:val="en-US" w:eastAsia="zh-CN"/>
        </w:rPr>
      </w:pPr>
      <w:r>
        <w:rPr>
          <w:rFonts w:hint="eastAsia" w:hAnsi="宋体" w:cs="宋体"/>
          <w:b/>
          <w:color w:val="auto"/>
          <w:sz w:val="32"/>
          <w:highlight w:val="none"/>
        </w:rPr>
        <w:t>谈判项目名称：</w:t>
      </w:r>
      <w:r>
        <w:rPr>
          <w:rFonts w:hint="eastAsia" w:hAnsi="宋体" w:cs="宋体"/>
          <w:b/>
          <w:color w:val="auto"/>
          <w:sz w:val="32"/>
          <w:highlight w:val="none"/>
          <w:u w:val="single"/>
          <w:lang w:val="en-US" w:eastAsia="zh-CN"/>
        </w:rPr>
        <w:t>长沙市轨道交通2号线一期工程运营期车站出入口硅纤板改造工程项目</w:t>
      </w:r>
    </w:p>
    <w:p>
      <w:pPr>
        <w:pStyle w:val="26"/>
        <w:adjustRightInd w:val="0"/>
        <w:snapToGrid w:val="0"/>
        <w:spacing w:line="360" w:lineRule="auto"/>
        <w:ind w:left="2887" w:leftChars="304" w:hanging="2249" w:hangingChars="700"/>
        <w:rPr>
          <w:rFonts w:hint="eastAsia" w:hAnsi="宋体" w:cs="宋体"/>
          <w:b/>
          <w:color w:val="auto"/>
          <w:sz w:val="32"/>
          <w:highlight w:val="none"/>
          <w:u w:val="single"/>
          <w:lang w:val="en-US" w:eastAsia="zh-CN"/>
        </w:rPr>
      </w:pPr>
    </w:p>
    <w:p>
      <w:pPr>
        <w:pStyle w:val="26"/>
        <w:adjustRightInd w:val="0"/>
        <w:snapToGrid w:val="0"/>
        <w:spacing w:line="360" w:lineRule="auto"/>
        <w:ind w:firstLine="643" w:firstLineChars="200"/>
        <w:rPr>
          <w:rFonts w:hAnsi="宋体"/>
          <w:b/>
          <w:color w:val="auto"/>
          <w:sz w:val="32"/>
          <w:highlight w:val="none"/>
        </w:rPr>
      </w:pPr>
      <w:r>
        <w:rPr>
          <w:rFonts w:hint="eastAsia" w:hAnsi="宋体" w:cs="宋体"/>
          <w:b/>
          <w:color w:val="auto"/>
          <w:sz w:val="32"/>
          <w:highlight w:val="none"/>
        </w:rPr>
        <w:t>采购单位名称：</w:t>
      </w:r>
      <w:r>
        <w:rPr>
          <w:rFonts w:hint="eastAsia" w:hAnsi="宋体" w:cs="宋体"/>
          <w:b/>
          <w:color w:val="auto"/>
          <w:sz w:val="32"/>
          <w:highlight w:val="none"/>
          <w:u w:val="single"/>
        </w:rPr>
        <w:t>长沙市轨道交通运营有限公司</w:t>
      </w:r>
    </w:p>
    <w:p>
      <w:pPr>
        <w:pStyle w:val="26"/>
        <w:adjustRightInd w:val="0"/>
        <w:snapToGrid w:val="0"/>
        <w:spacing w:line="360" w:lineRule="auto"/>
        <w:ind w:firstLine="321" w:firstLineChars="100"/>
        <w:rPr>
          <w:rFonts w:hAnsi="宋体"/>
          <w:b/>
          <w:color w:val="auto"/>
          <w:sz w:val="32"/>
          <w:highlight w:val="none"/>
        </w:rPr>
      </w:pPr>
    </w:p>
    <w:p>
      <w:pPr>
        <w:pStyle w:val="26"/>
        <w:adjustRightInd w:val="0"/>
        <w:snapToGrid w:val="0"/>
        <w:spacing w:line="360" w:lineRule="auto"/>
        <w:ind w:firstLine="643" w:firstLineChars="200"/>
        <w:rPr>
          <w:rFonts w:hAnsi="宋体" w:cs="宋体"/>
          <w:b/>
          <w:color w:val="auto"/>
          <w:sz w:val="32"/>
          <w:highlight w:val="none"/>
          <w:u w:val="single"/>
        </w:rPr>
      </w:pPr>
      <w:r>
        <w:rPr>
          <w:rFonts w:hint="eastAsia" w:hAnsi="宋体" w:cs="宋体"/>
          <w:b/>
          <w:color w:val="auto"/>
          <w:sz w:val="32"/>
          <w:highlight w:val="none"/>
        </w:rPr>
        <w:t>谈判项目编号：</w:t>
      </w:r>
      <w:r>
        <w:rPr>
          <w:rFonts w:hint="eastAsia" w:hAnsi="宋体" w:cs="宋体"/>
          <w:b/>
          <w:color w:val="auto"/>
          <w:sz w:val="32"/>
          <w:highlight w:val="none"/>
          <w:u w:val="single"/>
        </w:rPr>
        <w:t>长轨运工采【2023】001号</w:t>
      </w:r>
    </w:p>
    <w:p>
      <w:pPr>
        <w:pStyle w:val="26"/>
        <w:adjustRightInd w:val="0"/>
        <w:snapToGrid w:val="0"/>
        <w:spacing w:before="120" w:beforeLines="50" w:line="360" w:lineRule="auto"/>
        <w:rPr>
          <w:rFonts w:hAnsi="宋体" w:cs="宋体"/>
          <w:b/>
          <w:color w:val="auto"/>
          <w:sz w:val="32"/>
          <w:szCs w:val="32"/>
          <w:highlight w:val="none"/>
        </w:rPr>
      </w:pPr>
    </w:p>
    <w:p>
      <w:pPr>
        <w:pStyle w:val="26"/>
        <w:adjustRightInd w:val="0"/>
        <w:snapToGrid w:val="0"/>
        <w:spacing w:before="120" w:beforeLines="50" w:line="360" w:lineRule="auto"/>
        <w:rPr>
          <w:rFonts w:hAnsi="宋体" w:cs="宋体"/>
          <w:b/>
          <w:color w:val="auto"/>
          <w:sz w:val="32"/>
          <w:szCs w:val="32"/>
          <w:highlight w:val="none"/>
        </w:rPr>
      </w:pPr>
    </w:p>
    <w:p>
      <w:pPr>
        <w:pStyle w:val="26"/>
        <w:adjustRightInd w:val="0"/>
        <w:snapToGrid w:val="0"/>
        <w:spacing w:line="360" w:lineRule="auto"/>
        <w:rPr>
          <w:rFonts w:hAnsi="宋体" w:cs="宋体"/>
          <w:b/>
          <w:color w:val="auto"/>
          <w:sz w:val="32"/>
          <w:highlight w:val="none"/>
        </w:rPr>
      </w:pPr>
    </w:p>
    <w:p>
      <w:pPr>
        <w:pStyle w:val="26"/>
        <w:adjustRightInd w:val="0"/>
        <w:snapToGrid w:val="0"/>
        <w:spacing w:line="360" w:lineRule="auto"/>
        <w:rPr>
          <w:rFonts w:hAnsi="宋体" w:cs="宋体"/>
          <w:b/>
          <w:color w:val="auto"/>
          <w:sz w:val="32"/>
          <w:highlight w:val="none"/>
        </w:rPr>
      </w:pPr>
    </w:p>
    <w:p>
      <w:pPr>
        <w:pStyle w:val="26"/>
        <w:adjustRightInd w:val="0"/>
        <w:snapToGrid w:val="0"/>
        <w:spacing w:line="360" w:lineRule="auto"/>
        <w:rPr>
          <w:rFonts w:hAnsi="宋体" w:cs="宋体"/>
          <w:b/>
          <w:color w:val="auto"/>
          <w:sz w:val="32"/>
          <w:highlight w:val="none"/>
        </w:rPr>
      </w:pPr>
    </w:p>
    <w:p>
      <w:pPr>
        <w:pStyle w:val="26"/>
        <w:adjustRightInd w:val="0"/>
        <w:snapToGrid w:val="0"/>
        <w:spacing w:line="360" w:lineRule="auto"/>
        <w:rPr>
          <w:rFonts w:hAnsi="宋体" w:cs="宋体"/>
          <w:bCs/>
          <w:color w:val="auto"/>
          <w:sz w:val="32"/>
          <w:highlight w:val="none"/>
        </w:rPr>
      </w:pPr>
    </w:p>
    <w:p>
      <w:pPr>
        <w:pStyle w:val="26"/>
        <w:adjustRightInd w:val="0"/>
        <w:snapToGrid w:val="0"/>
        <w:spacing w:line="360" w:lineRule="auto"/>
        <w:jc w:val="center"/>
        <w:rPr>
          <w:rFonts w:hAnsi="宋体" w:cs="宋体"/>
          <w:bCs/>
          <w:color w:val="auto"/>
          <w:sz w:val="32"/>
          <w:highlight w:val="none"/>
        </w:rPr>
      </w:pPr>
      <w:r>
        <w:rPr>
          <w:rFonts w:hint="eastAsia" w:hAnsi="宋体" w:cs="宋体"/>
          <w:b/>
          <w:color w:val="auto"/>
          <w:sz w:val="32"/>
          <w:highlight w:val="none"/>
        </w:rPr>
        <w:t>二〇二</w:t>
      </w:r>
      <w:r>
        <w:rPr>
          <w:rFonts w:hint="eastAsia" w:hAnsi="宋体" w:cs="宋体"/>
          <w:b/>
          <w:color w:val="auto"/>
          <w:sz w:val="32"/>
          <w:highlight w:val="none"/>
          <w:lang w:val="en-US" w:eastAsia="zh-CN"/>
        </w:rPr>
        <w:t>三</w:t>
      </w:r>
      <w:r>
        <w:rPr>
          <w:rFonts w:hint="eastAsia" w:hAnsi="宋体" w:cs="宋体"/>
          <w:b/>
          <w:color w:val="auto"/>
          <w:sz w:val="32"/>
          <w:highlight w:val="none"/>
        </w:rPr>
        <w:t>年</w:t>
      </w:r>
      <w:r>
        <w:rPr>
          <w:rFonts w:hint="eastAsia" w:hAnsi="宋体" w:cs="宋体"/>
          <w:b/>
          <w:color w:val="auto"/>
          <w:sz w:val="32"/>
          <w:highlight w:val="none"/>
          <w:lang w:val="en-US" w:eastAsia="zh-CN"/>
        </w:rPr>
        <w:t>三</w:t>
      </w:r>
      <w:r>
        <w:rPr>
          <w:rFonts w:hint="eastAsia" w:hAnsi="宋体" w:cs="宋体"/>
          <w:b/>
          <w:color w:val="auto"/>
          <w:sz w:val="32"/>
          <w:highlight w:val="none"/>
        </w:rPr>
        <w:t>月</w:t>
      </w:r>
    </w:p>
    <w:p>
      <w:pPr>
        <w:pStyle w:val="26"/>
        <w:adjustRightInd w:val="0"/>
        <w:snapToGrid w:val="0"/>
        <w:spacing w:line="360" w:lineRule="auto"/>
        <w:jc w:val="center"/>
        <w:rPr>
          <w:rFonts w:hAnsi="宋体" w:cs="宋体"/>
          <w:b/>
          <w:color w:val="auto"/>
          <w:sz w:val="32"/>
          <w:highlight w:val="none"/>
        </w:rPr>
      </w:pPr>
    </w:p>
    <w:p>
      <w:pPr>
        <w:pStyle w:val="26"/>
        <w:adjustRightInd w:val="0"/>
        <w:snapToGrid w:val="0"/>
        <w:spacing w:line="360" w:lineRule="auto"/>
        <w:jc w:val="center"/>
        <w:rPr>
          <w:rFonts w:hAnsi="宋体" w:cs="宋体"/>
          <w:b/>
          <w:color w:val="auto"/>
          <w:sz w:val="32"/>
          <w:highlight w:val="none"/>
        </w:rPr>
        <w:sectPr>
          <w:footerReference r:id="rId3" w:type="default"/>
          <w:pgSz w:w="11906" w:h="16838"/>
          <w:pgMar w:top="1440" w:right="1474" w:bottom="1440" w:left="1531" w:header="851" w:footer="850" w:gutter="0"/>
          <w:pgNumType w:fmt="decimal" w:start="0"/>
          <w:cols w:space="0" w:num="1"/>
          <w:docGrid w:linePitch="312" w:charSpace="0"/>
        </w:sectPr>
      </w:pPr>
    </w:p>
    <w:p>
      <w:pPr>
        <w:jc w:val="center"/>
        <w:rPr>
          <w:rFonts w:ascii="宋体" w:hAnsi="宋体" w:cs="宋体"/>
          <w:b/>
          <w:bCs/>
          <w:color w:val="auto"/>
          <w:sz w:val="32"/>
          <w:szCs w:val="32"/>
          <w:highlight w:val="none"/>
        </w:rPr>
      </w:pPr>
      <w:bookmarkStart w:id="0" w:name="_Toc14891064"/>
      <w:r>
        <w:rPr>
          <w:rFonts w:hint="eastAsia" w:ascii="宋体" w:hAnsi="宋体" w:cs="宋体"/>
          <w:b/>
          <w:bCs/>
          <w:color w:val="auto"/>
          <w:sz w:val="32"/>
          <w:szCs w:val="32"/>
          <w:highlight w:val="none"/>
        </w:rPr>
        <w:t>目   录</w:t>
      </w:r>
    </w:p>
    <w:p>
      <w:pPr>
        <w:spacing w:line="360" w:lineRule="auto"/>
        <w:jc w:val="center"/>
        <w:rPr>
          <w:rFonts w:ascii="宋体" w:hAnsi="宋体" w:cs="宋体"/>
          <w:b/>
          <w:bCs/>
          <w:color w:val="auto"/>
          <w:szCs w:val="21"/>
          <w:highlight w:val="none"/>
        </w:rPr>
      </w:pPr>
    </w:p>
    <w:p>
      <w:pPr>
        <w:pStyle w:val="33"/>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color w:val="auto"/>
          <w:highlight w:val="none"/>
        </w:rPr>
        <w:instrText xml:space="preserve">TOC \o "1-2" \h \u </w:instrText>
      </w:r>
      <w:r>
        <w:rPr>
          <w:rFonts w:ascii="宋体" w:hAnsi="宋体" w:cs="宋体"/>
          <w:color w:val="auto"/>
          <w:highlight w:val="none"/>
        </w:rPr>
        <w:fldChar w:fldCharType="separate"/>
      </w:r>
      <w:r>
        <w:rPr>
          <w:rFonts w:ascii="宋体" w:hAnsi="宋体" w:cs="宋体"/>
          <w:color w:val="auto"/>
          <w:highlight w:val="none"/>
        </w:rPr>
        <w:fldChar w:fldCharType="begin"/>
      </w:r>
      <w:r>
        <w:rPr>
          <w:rFonts w:ascii="宋体" w:hAnsi="宋体" w:cs="宋体"/>
          <w:highlight w:val="none"/>
        </w:rPr>
        <w:instrText xml:space="preserve"> HYPERLINK \l _Toc25858 </w:instrText>
      </w:r>
      <w:r>
        <w:rPr>
          <w:rFonts w:ascii="宋体" w:hAnsi="宋体" w:cs="宋体"/>
          <w:highlight w:val="none"/>
        </w:rPr>
        <w:fldChar w:fldCharType="separate"/>
      </w:r>
      <w:r>
        <w:rPr>
          <w:rFonts w:hint="eastAsia" w:ascii="宋体" w:hAnsi="宋体" w:cs="宋体"/>
          <w:szCs w:val="32"/>
          <w:highlight w:val="none"/>
        </w:rPr>
        <w:t>第一章  谈判邀请公告</w:t>
      </w:r>
      <w:r>
        <w:rPr>
          <w:highlight w:val="none"/>
        </w:rPr>
        <w:tab/>
      </w:r>
      <w:r>
        <w:rPr>
          <w:highlight w:val="none"/>
        </w:rPr>
        <w:fldChar w:fldCharType="begin"/>
      </w:r>
      <w:r>
        <w:rPr>
          <w:highlight w:val="none"/>
        </w:rPr>
        <w:instrText xml:space="preserve"> PAGEREF _Toc25858 \h </w:instrText>
      </w:r>
      <w:r>
        <w:rPr>
          <w:highlight w:val="none"/>
        </w:rPr>
        <w:fldChar w:fldCharType="separate"/>
      </w:r>
      <w:r>
        <w:rPr>
          <w:highlight w:val="none"/>
        </w:rPr>
        <w:t>1</w:t>
      </w:r>
      <w:r>
        <w:rPr>
          <w:highlight w:val="none"/>
        </w:rPr>
        <w:fldChar w:fldCharType="end"/>
      </w:r>
      <w:r>
        <w:rPr>
          <w:rFonts w:ascii="宋体" w:hAnsi="宋体" w:cs="宋体"/>
          <w:color w:val="auto"/>
          <w:highlight w:val="none"/>
        </w:rPr>
        <w:fldChar w:fldCharType="end"/>
      </w:r>
    </w:p>
    <w:p>
      <w:pPr>
        <w:pStyle w:val="33"/>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_Toc27677 </w:instrText>
      </w:r>
      <w:r>
        <w:rPr>
          <w:rFonts w:ascii="宋体" w:hAnsi="宋体" w:cs="宋体"/>
          <w:highlight w:val="none"/>
        </w:rPr>
        <w:fldChar w:fldCharType="separate"/>
      </w:r>
      <w:r>
        <w:rPr>
          <w:rFonts w:hint="eastAsia" w:ascii="宋体" w:hAnsi="宋体" w:cs="宋体"/>
          <w:bCs w:val="0"/>
          <w:szCs w:val="32"/>
          <w:highlight w:val="none"/>
        </w:rPr>
        <w:t>第二章  谈判须知</w:t>
      </w:r>
      <w:r>
        <w:rPr>
          <w:highlight w:val="none"/>
        </w:rPr>
        <w:tab/>
      </w:r>
      <w:r>
        <w:rPr>
          <w:highlight w:val="none"/>
        </w:rPr>
        <w:fldChar w:fldCharType="begin"/>
      </w:r>
      <w:r>
        <w:rPr>
          <w:highlight w:val="none"/>
        </w:rPr>
        <w:instrText xml:space="preserve"> PAGEREF _Toc27677 \h </w:instrText>
      </w:r>
      <w:r>
        <w:rPr>
          <w:highlight w:val="none"/>
        </w:rPr>
        <w:fldChar w:fldCharType="separate"/>
      </w:r>
      <w:r>
        <w:rPr>
          <w:highlight w:val="none"/>
        </w:rPr>
        <w:t>5</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_Toc22392 </w:instrText>
      </w:r>
      <w:r>
        <w:rPr>
          <w:rFonts w:ascii="宋体" w:hAnsi="宋体" w:cs="宋体"/>
          <w:highlight w:val="none"/>
        </w:rPr>
        <w:fldChar w:fldCharType="separate"/>
      </w:r>
      <w:r>
        <w:rPr>
          <w:rFonts w:hint="eastAsia" w:ascii="宋体" w:hAnsi="宋体" w:cs="宋体"/>
          <w:highlight w:val="none"/>
        </w:rPr>
        <w:t>谈判须知前附表</w:t>
      </w:r>
      <w:r>
        <w:rPr>
          <w:highlight w:val="none"/>
        </w:rPr>
        <w:tab/>
      </w:r>
      <w:r>
        <w:rPr>
          <w:highlight w:val="none"/>
        </w:rPr>
        <w:fldChar w:fldCharType="begin"/>
      </w:r>
      <w:r>
        <w:rPr>
          <w:highlight w:val="none"/>
        </w:rPr>
        <w:instrText xml:space="preserve"> PAGEREF _Toc22392 \h </w:instrText>
      </w:r>
      <w:r>
        <w:rPr>
          <w:highlight w:val="none"/>
        </w:rPr>
        <w:fldChar w:fldCharType="separate"/>
      </w:r>
      <w:r>
        <w:rPr>
          <w:highlight w:val="none"/>
        </w:rPr>
        <w:t>5</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_Toc1232 </w:instrText>
      </w:r>
      <w:r>
        <w:rPr>
          <w:rFonts w:ascii="宋体" w:hAnsi="宋体" w:cs="宋体"/>
          <w:highlight w:val="none"/>
        </w:rPr>
        <w:fldChar w:fldCharType="separate"/>
      </w:r>
      <w:r>
        <w:rPr>
          <w:rFonts w:hint="eastAsia" w:ascii="宋体" w:hAnsi="宋体" w:cs="宋体"/>
          <w:highlight w:val="none"/>
        </w:rPr>
        <w:t>谈判须知正文</w:t>
      </w:r>
      <w:r>
        <w:rPr>
          <w:highlight w:val="none"/>
        </w:rPr>
        <w:tab/>
      </w:r>
      <w:r>
        <w:rPr>
          <w:highlight w:val="none"/>
        </w:rPr>
        <w:fldChar w:fldCharType="begin"/>
      </w:r>
      <w:r>
        <w:rPr>
          <w:highlight w:val="none"/>
        </w:rPr>
        <w:instrText xml:space="preserve"> PAGEREF _Toc1232 \h </w:instrText>
      </w:r>
      <w:r>
        <w:rPr>
          <w:highlight w:val="none"/>
        </w:rPr>
        <w:fldChar w:fldCharType="separate"/>
      </w:r>
      <w:r>
        <w:rPr>
          <w:highlight w:val="none"/>
        </w:rPr>
        <w:t>7</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_Toc6723 </w:instrText>
      </w:r>
      <w:r>
        <w:rPr>
          <w:rFonts w:ascii="宋体" w:hAnsi="宋体" w:cs="宋体"/>
          <w:highlight w:val="none"/>
        </w:rPr>
        <w:fldChar w:fldCharType="separate"/>
      </w:r>
      <w:r>
        <w:rPr>
          <w:rFonts w:hint="eastAsia" w:ascii="宋体" w:hAnsi="宋体" w:cs="宋体"/>
          <w:szCs w:val="21"/>
          <w:highlight w:val="none"/>
        </w:rPr>
        <w:t>一、说明</w:t>
      </w:r>
      <w:r>
        <w:rPr>
          <w:highlight w:val="none"/>
        </w:rPr>
        <w:tab/>
      </w:r>
      <w:r>
        <w:rPr>
          <w:highlight w:val="none"/>
        </w:rPr>
        <w:fldChar w:fldCharType="begin"/>
      </w:r>
      <w:r>
        <w:rPr>
          <w:highlight w:val="none"/>
        </w:rPr>
        <w:instrText xml:space="preserve"> PAGEREF _Toc6723 \h </w:instrText>
      </w:r>
      <w:r>
        <w:rPr>
          <w:highlight w:val="none"/>
        </w:rPr>
        <w:fldChar w:fldCharType="separate"/>
      </w:r>
      <w:r>
        <w:rPr>
          <w:highlight w:val="none"/>
        </w:rPr>
        <w:t>7</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_Toc32362 </w:instrText>
      </w:r>
      <w:r>
        <w:rPr>
          <w:rFonts w:ascii="宋体" w:hAnsi="宋体" w:cs="宋体"/>
          <w:highlight w:val="none"/>
        </w:rPr>
        <w:fldChar w:fldCharType="separate"/>
      </w:r>
      <w:r>
        <w:rPr>
          <w:rFonts w:hint="eastAsia" w:ascii="宋体" w:hAnsi="宋体" w:cs="宋体"/>
          <w:szCs w:val="21"/>
          <w:highlight w:val="none"/>
        </w:rPr>
        <w:t>二、谈判文件</w:t>
      </w:r>
      <w:r>
        <w:rPr>
          <w:highlight w:val="none"/>
        </w:rPr>
        <w:tab/>
      </w:r>
      <w:r>
        <w:rPr>
          <w:highlight w:val="none"/>
        </w:rPr>
        <w:fldChar w:fldCharType="begin"/>
      </w:r>
      <w:r>
        <w:rPr>
          <w:highlight w:val="none"/>
        </w:rPr>
        <w:instrText xml:space="preserve"> PAGEREF _Toc32362 \h </w:instrText>
      </w:r>
      <w:r>
        <w:rPr>
          <w:highlight w:val="none"/>
        </w:rPr>
        <w:fldChar w:fldCharType="separate"/>
      </w:r>
      <w:r>
        <w:rPr>
          <w:highlight w:val="none"/>
        </w:rPr>
        <w:t>7</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_Toc11683 </w:instrText>
      </w:r>
      <w:r>
        <w:rPr>
          <w:rFonts w:ascii="宋体" w:hAnsi="宋体" w:cs="宋体"/>
          <w:highlight w:val="none"/>
        </w:rPr>
        <w:fldChar w:fldCharType="separate"/>
      </w:r>
      <w:r>
        <w:rPr>
          <w:rFonts w:hint="eastAsia" w:ascii="宋体" w:hAnsi="宋体" w:cs="宋体"/>
          <w:szCs w:val="21"/>
          <w:highlight w:val="none"/>
        </w:rPr>
        <w:t>三、响应文件</w:t>
      </w:r>
      <w:r>
        <w:rPr>
          <w:highlight w:val="none"/>
        </w:rPr>
        <w:tab/>
      </w:r>
      <w:r>
        <w:rPr>
          <w:highlight w:val="none"/>
        </w:rPr>
        <w:fldChar w:fldCharType="begin"/>
      </w:r>
      <w:r>
        <w:rPr>
          <w:highlight w:val="none"/>
        </w:rPr>
        <w:instrText xml:space="preserve"> PAGEREF _Toc11683 \h </w:instrText>
      </w:r>
      <w:r>
        <w:rPr>
          <w:highlight w:val="none"/>
        </w:rPr>
        <w:fldChar w:fldCharType="separate"/>
      </w:r>
      <w:r>
        <w:rPr>
          <w:highlight w:val="none"/>
        </w:rPr>
        <w:t>8</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_Toc29020 </w:instrText>
      </w:r>
      <w:r>
        <w:rPr>
          <w:rFonts w:ascii="宋体" w:hAnsi="宋体" w:cs="宋体"/>
          <w:highlight w:val="none"/>
        </w:rPr>
        <w:fldChar w:fldCharType="separate"/>
      </w:r>
      <w:r>
        <w:rPr>
          <w:rFonts w:hint="eastAsia" w:ascii="宋体" w:hAnsi="宋体" w:cs="宋体"/>
          <w:szCs w:val="21"/>
          <w:highlight w:val="none"/>
        </w:rPr>
        <w:t>四、响应文件的递交</w:t>
      </w:r>
      <w:r>
        <w:rPr>
          <w:highlight w:val="none"/>
        </w:rPr>
        <w:tab/>
      </w:r>
      <w:r>
        <w:rPr>
          <w:highlight w:val="none"/>
        </w:rPr>
        <w:fldChar w:fldCharType="begin"/>
      </w:r>
      <w:r>
        <w:rPr>
          <w:highlight w:val="none"/>
        </w:rPr>
        <w:instrText xml:space="preserve"> PAGEREF _Toc29020 \h </w:instrText>
      </w:r>
      <w:r>
        <w:rPr>
          <w:highlight w:val="none"/>
        </w:rPr>
        <w:fldChar w:fldCharType="separate"/>
      </w:r>
      <w:r>
        <w:rPr>
          <w:highlight w:val="none"/>
        </w:rPr>
        <w:t>10</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_Toc17587 </w:instrText>
      </w:r>
      <w:r>
        <w:rPr>
          <w:rFonts w:ascii="宋体" w:hAnsi="宋体" w:cs="宋体"/>
          <w:highlight w:val="none"/>
        </w:rPr>
        <w:fldChar w:fldCharType="separate"/>
      </w:r>
      <w:r>
        <w:rPr>
          <w:rFonts w:hint="eastAsia" w:ascii="宋体" w:hAnsi="宋体" w:cs="宋体"/>
          <w:szCs w:val="21"/>
          <w:highlight w:val="none"/>
        </w:rPr>
        <w:t>五、响应文件的评审</w:t>
      </w:r>
      <w:r>
        <w:rPr>
          <w:highlight w:val="none"/>
        </w:rPr>
        <w:tab/>
      </w:r>
      <w:r>
        <w:rPr>
          <w:highlight w:val="none"/>
        </w:rPr>
        <w:fldChar w:fldCharType="begin"/>
      </w:r>
      <w:r>
        <w:rPr>
          <w:highlight w:val="none"/>
        </w:rPr>
        <w:instrText xml:space="preserve"> PAGEREF _Toc17587 \h </w:instrText>
      </w:r>
      <w:r>
        <w:rPr>
          <w:highlight w:val="none"/>
        </w:rPr>
        <w:fldChar w:fldCharType="separate"/>
      </w:r>
      <w:r>
        <w:rPr>
          <w:highlight w:val="none"/>
        </w:rPr>
        <w:t>11</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_Toc30491 </w:instrText>
      </w:r>
      <w:r>
        <w:rPr>
          <w:rFonts w:ascii="宋体" w:hAnsi="宋体" w:cs="宋体"/>
          <w:highlight w:val="none"/>
        </w:rPr>
        <w:fldChar w:fldCharType="separate"/>
      </w:r>
      <w:r>
        <w:rPr>
          <w:rFonts w:hint="eastAsia" w:ascii="宋体" w:hAnsi="宋体" w:cs="宋体"/>
          <w:szCs w:val="21"/>
          <w:highlight w:val="none"/>
        </w:rPr>
        <w:t>六、响应文件的澄清、说明及补正</w:t>
      </w:r>
      <w:r>
        <w:rPr>
          <w:highlight w:val="none"/>
        </w:rPr>
        <w:tab/>
      </w:r>
      <w:r>
        <w:rPr>
          <w:highlight w:val="none"/>
        </w:rPr>
        <w:fldChar w:fldCharType="begin"/>
      </w:r>
      <w:r>
        <w:rPr>
          <w:highlight w:val="none"/>
        </w:rPr>
        <w:instrText xml:space="preserve"> PAGEREF _Toc30491 \h </w:instrText>
      </w:r>
      <w:r>
        <w:rPr>
          <w:highlight w:val="none"/>
        </w:rPr>
        <w:fldChar w:fldCharType="separate"/>
      </w:r>
      <w:r>
        <w:rPr>
          <w:highlight w:val="none"/>
        </w:rPr>
        <w:t>11</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_Toc718 </w:instrText>
      </w:r>
      <w:r>
        <w:rPr>
          <w:rFonts w:ascii="宋体" w:hAnsi="宋体" w:cs="宋体"/>
          <w:highlight w:val="none"/>
        </w:rPr>
        <w:fldChar w:fldCharType="separate"/>
      </w:r>
      <w:r>
        <w:rPr>
          <w:rFonts w:hint="eastAsia" w:ascii="宋体" w:hAnsi="宋体" w:cs="宋体"/>
          <w:szCs w:val="21"/>
          <w:highlight w:val="none"/>
        </w:rPr>
        <w:t>七、中选结果与授予合同</w:t>
      </w:r>
      <w:r>
        <w:rPr>
          <w:highlight w:val="none"/>
        </w:rPr>
        <w:tab/>
      </w:r>
      <w:r>
        <w:rPr>
          <w:highlight w:val="none"/>
        </w:rPr>
        <w:fldChar w:fldCharType="begin"/>
      </w:r>
      <w:r>
        <w:rPr>
          <w:highlight w:val="none"/>
        </w:rPr>
        <w:instrText xml:space="preserve"> PAGEREF _Toc718 \h </w:instrText>
      </w:r>
      <w:r>
        <w:rPr>
          <w:highlight w:val="none"/>
        </w:rPr>
        <w:fldChar w:fldCharType="separate"/>
      </w:r>
      <w:r>
        <w:rPr>
          <w:highlight w:val="none"/>
        </w:rPr>
        <w:t>11</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_Toc15972 </w:instrText>
      </w:r>
      <w:r>
        <w:rPr>
          <w:rFonts w:ascii="宋体" w:hAnsi="宋体" w:cs="宋体"/>
          <w:highlight w:val="none"/>
        </w:rPr>
        <w:fldChar w:fldCharType="separate"/>
      </w:r>
      <w:r>
        <w:rPr>
          <w:rFonts w:hint="eastAsia" w:ascii="宋体" w:hAnsi="宋体" w:cs="宋体"/>
          <w:szCs w:val="21"/>
          <w:highlight w:val="none"/>
        </w:rPr>
        <w:t>八、其他</w:t>
      </w:r>
      <w:r>
        <w:rPr>
          <w:highlight w:val="none"/>
        </w:rPr>
        <w:tab/>
      </w:r>
      <w:r>
        <w:rPr>
          <w:highlight w:val="none"/>
        </w:rPr>
        <w:fldChar w:fldCharType="begin"/>
      </w:r>
      <w:r>
        <w:rPr>
          <w:highlight w:val="none"/>
        </w:rPr>
        <w:instrText xml:space="preserve"> PAGEREF _Toc15972 \h </w:instrText>
      </w:r>
      <w:r>
        <w:rPr>
          <w:highlight w:val="none"/>
        </w:rPr>
        <w:fldChar w:fldCharType="separate"/>
      </w:r>
      <w:r>
        <w:rPr>
          <w:highlight w:val="none"/>
        </w:rPr>
        <w:t>12</w:t>
      </w:r>
      <w:r>
        <w:rPr>
          <w:highlight w:val="none"/>
        </w:rPr>
        <w:fldChar w:fldCharType="end"/>
      </w:r>
      <w:r>
        <w:rPr>
          <w:rFonts w:ascii="宋体" w:hAnsi="宋体" w:cs="宋体"/>
          <w:color w:val="auto"/>
          <w:highlight w:val="none"/>
        </w:rPr>
        <w:fldChar w:fldCharType="end"/>
      </w:r>
    </w:p>
    <w:p>
      <w:pPr>
        <w:pStyle w:val="33"/>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_Toc22852 </w:instrText>
      </w:r>
      <w:r>
        <w:rPr>
          <w:rFonts w:ascii="宋体" w:hAnsi="宋体" w:cs="宋体"/>
          <w:highlight w:val="none"/>
        </w:rPr>
        <w:fldChar w:fldCharType="separate"/>
      </w:r>
      <w:r>
        <w:rPr>
          <w:rFonts w:hint="eastAsia" w:ascii="宋体" w:hAnsi="宋体" w:cs="宋体"/>
          <w:bCs w:val="0"/>
          <w:szCs w:val="32"/>
          <w:highlight w:val="none"/>
        </w:rPr>
        <w:t>第三章  评审办法及标准</w:t>
      </w:r>
      <w:r>
        <w:rPr>
          <w:highlight w:val="none"/>
        </w:rPr>
        <w:tab/>
      </w:r>
      <w:r>
        <w:rPr>
          <w:highlight w:val="none"/>
        </w:rPr>
        <w:fldChar w:fldCharType="begin"/>
      </w:r>
      <w:r>
        <w:rPr>
          <w:highlight w:val="none"/>
        </w:rPr>
        <w:instrText xml:space="preserve"> PAGEREF _Toc22852 \h </w:instrText>
      </w:r>
      <w:r>
        <w:rPr>
          <w:highlight w:val="none"/>
        </w:rPr>
        <w:fldChar w:fldCharType="separate"/>
      </w:r>
      <w:r>
        <w:rPr>
          <w:highlight w:val="none"/>
        </w:rPr>
        <w:t>14</w:t>
      </w:r>
      <w:r>
        <w:rPr>
          <w:highlight w:val="none"/>
        </w:rPr>
        <w:fldChar w:fldCharType="end"/>
      </w:r>
      <w:r>
        <w:rPr>
          <w:rFonts w:ascii="宋体" w:hAnsi="宋体" w:cs="宋体"/>
          <w:color w:val="auto"/>
          <w:highlight w:val="none"/>
        </w:rPr>
        <w:fldChar w:fldCharType="end"/>
      </w:r>
    </w:p>
    <w:p>
      <w:pPr>
        <w:pStyle w:val="33"/>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_Toc8873 </w:instrText>
      </w:r>
      <w:r>
        <w:rPr>
          <w:rFonts w:ascii="宋体" w:hAnsi="宋体" w:cs="宋体"/>
          <w:highlight w:val="none"/>
        </w:rPr>
        <w:fldChar w:fldCharType="separate"/>
      </w:r>
      <w:r>
        <w:rPr>
          <w:rFonts w:hint="eastAsia" w:ascii="宋体" w:hAnsi="宋体" w:cs="宋体"/>
          <w:bCs w:val="0"/>
          <w:szCs w:val="32"/>
          <w:highlight w:val="none"/>
        </w:rPr>
        <w:t>第四章  用户需求书（另册）</w:t>
      </w:r>
      <w:r>
        <w:rPr>
          <w:highlight w:val="none"/>
        </w:rPr>
        <w:tab/>
      </w:r>
      <w:r>
        <w:rPr>
          <w:highlight w:val="none"/>
        </w:rPr>
        <w:fldChar w:fldCharType="begin"/>
      </w:r>
      <w:r>
        <w:rPr>
          <w:highlight w:val="none"/>
        </w:rPr>
        <w:instrText xml:space="preserve"> PAGEREF _Toc8873 \h </w:instrText>
      </w:r>
      <w:r>
        <w:rPr>
          <w:highlight w:val="none"/>
        </w:rPr>
        <w:fldChar w:fldCharType="separate"/>
      </w:r>
      <w:r>
        <w:rPr>
          <w:highlight w:val="none"/>
        </w:rPr>
        <w:t>22</w:t>
      </w:r>
      <w:r>
        <w:rPr>
          <w:highlight w:val="none"/>
        </w:rPr>
        <w:fldChar w:fldCharType="end"/>
      </w:r>
      <w:r>
        <w:rPr>
          <w:rFonts w:ascii="宋体" w:hAnsi="宋体" w:cs="宋体"/>
          <w:color w:val="auto"/>
          <w:highlight w:val="none"/>
        </w:rPr>
        <w:fldChar w:fldCharType="end"/>
      </w:r>
    </w:p>
    <w:p>
      <w:pPr>
        <w:pStyle w:val="33"/>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_Toc12190 </w:instrText>
      </w:r>
      <w:r>
        <w:rPr>
          <w:rFonts w:ascii="宋体" w:hAnsi="宋体" w:cs="宋体"/>
          <w:highlight w:val="none"/>
        </w:rPr>
        <w:fldChar w:fldCharType="separate"/>
      </w:r>
      <w:r>
        <w:rPr>
          <w:rFonts w:hint="eastAsia" w:ascii="宋体" w:hAnsi="宋体" w:cs="宋体"/>
          <w:bCs w:val="0"/>
          <w:szCs w:val="32"/>
          <w:highlight w:val="none"/>
        </w:rPr>
        <w:t>第五章  谈判最高限价（另册）</w:t>
      </w:r>
      <w:r>
        <w:rPr>
          <w:highlight w:val="none"/>
        </w:rPr>
        <w:tab/>
      </w:r>
      <w:r>
        <w:rPr>
          <w:highlight w:val="none"/>
        </w:rPr>
        <w:fldChar w:fldCharType="begin"/>
      </w:r>
      <w:r>
        <w:rPr>
          <w:highlight w:val="none"/>
        </w:rPr>
        <w:instrText xml:space="preserve"> PAGEREF _Toc12190 \h </w:instrText>
      </w:r>
      <w:r>
        <w:rPr>
          <w:highlight w:val="none"/>
        </w:rPr>
        <w:fldChar w:fldCharType="separate"/>
      </w:r>
      <w:r>
        <w:rPr>
          <w:highlight w:val="none"/>
        </w:rPr>
        <w:t>23</w:t>
      </w:r>
      <w:r>
        <w:rPr>
          <w:highlight w:val="none"/>
        </w:rPr>
        <w:fldChar w:fldCharType="end"/>
      </w:r>
      <w:r>
        <w:rPr>
          <w:rFonts w:ascii="宋体" w:hAnsi="宋体" w:cs="宋体"/>
          <w:color w:val="auto"/>
          <w:highlight w:val="none"/>
        </w:rPr>
        <w:fldChar w:fldCharType="end"/>
      </w:r>
    </w:p>
    <w:p>
      <w:pPr>
        <w:pStyle w:val="33"/>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_Toc26563 </w:instrText>
      </w:r>
      <w:r>
        <w:rPr>
          <w:rFonts w:ascii="宋体" w:hAnsi="宋体" w:cs="宋体"/>
          <w:highlight w:val="none"/>
        </w:rPr>
        <w:fldChar w:fldCharType="separate"/>
      </w:r>
      <w:r>
        <w:rPr>
          <w:rFonts w:hint="eastAsia" w:ascii="宋体" w:hAnsi="宋体" w:cs="宋体"/>
          <w:bCs w:val="0"/>
          <w:szCs w:val="32"/>
          <w:highlight w:val="none"/>
        </w:rPr>
        <w:t>第六章  合同格式条款</w:t>
      </w:r>
      <w:r>
        <w:rPr>
          <w:highlight w:val="none"/>
        </w:rPr>
        <w:tab/>
      </w:r>
      <w:r>
        <w:rPr>
          <w:highlight w:val="none"/>
        </w:rPr>
        <w:fldChar w:fldCharType="begin"/>
      </w:r>
      <w:r>
        <w:rPr>
          <w:highlight w:val="none"/>
        </w:rPr>
        <w:instrText xml:space="preserve"> PAGEREF _Toc26563 \h </w:instrText>
      </w:r>
      <w:r>
        <w:rPr>
          <w:highlight w:val="none"/>
        </w:rPr>
        <w:fldChar w:fldCharType="separate"/>
      </w:r>
      <w:r>
        <w:rPr>
          <w:highlight w:val="none"/>
        </w:rPr>
        <w:t>24</w:t>
      </w:r>
      <w:r>
        <w:rPr>
          <w:highlight w:val="none"/>
        </w:rPr>
        <w:fldChar w:fldCharType="end"/>
      </w:r>
      <w:r>
        <w:rPr>
          <w:rFonts w:ascii="宋体" w:hAnsi="宋体" w:cs="宋体"/>
          <w:color w:val="auto"/>
          <w:highlight w:val="none"/>
        </w:rPr>
        <w:fldChar w:fldCharType="end"/>
      </w:r>
    </w:p>
    <w:p>
      <w:pPr>
        <w:pStyle w:val="33"/>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_Toc30929 </w:instrText>
      </w:r>
      <w:r>
        <w:rPr>
          <w:rFonts w:ascii="宋体" w:hAnsi="宋体" w:cs="宋体"/>
          <w:highlight w:val="none"/>
        </w:rPr>
        <w:fldChar w:fldCharType="separate"/>
      </w:r>
      <w:r>
        <w:rPr>
          <w:rFonts w:hint="eastAsia" w:ascii="宋体" w:hAnsi="宋体" w:cs="宋体"/>
          <w:szCs w:val="32"/>
          <w:highlight w:val="none"/>
        </w:rPr>
        <w:t xml:space="preserve">第七章  </w:t>
      </w:r>
      <w:r>
        <w:rPr>
          <w:rFonts w:hint="eastAsia" w:ascii="宋体" w:hAnsi="宋体" w:cs="宋体"/>
          <w:bCs/>
          <w:szCs w:val="32"/>
          <w:highlight w:val="none"/>
        </w:rPr>
        <w:t>响应文件组成</w:t>
      </w:r>
      <w:r>
        <w:rPr>
          <w:highlight w:val="none"/>
        </w:rPr>
        <w:tab/>
      </w:r>
      <w:r>
        <w:rPr>
          <w:highlight w:val="none"/>
        </w:rPr>
        <w:fldChar w:fldCharType="begin"/>
      </w:r>
      <w:r>
        <w:rPr>
          <w:highlight w:val="none"/>
        </w:rPr>
        <w:instrText xml:space="preserve"> PAGEREF _Toc30929 \h </w:instrText>
      </w:r>
      <w:r>
        <w:rPr>
          <w:highlight w:val="none"/>
        </w:rPr>
        <w:fldChar w:fldCharType="separate"/>
      </w:r>
      <w:r>
        <w:rPr>
          <w:highlight w:val="none"/>
        </w:rPr>
        <w:t>40</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_Toc2896 </w:instrText>
      </w:r>
      <w:r>
        <w:rPr>
          <w:rFonts w:ascii="宋体" w:hAnsi="宋体" w:cs="宋体"/>
          <w:highlight w:val="none"/>
        </w:rPr>
        <w:fldChar w:fldCharType="separate"/>
      </w:r>
      <w:r>
        <w:rPr>
          <w:rFonts w:hint="eastAsia" w:ascii="宋体" w:hAnsi="宋体" w:cs="宋体"/>
          <w:szCs w:val="32"/>
          <w:highlight w:val="none"/>
        </w:rPr>
        <w:t>一、谈判承诺书</w:t>
      </w:r>
      <w:r>
        <w:rPr>
          <w:highlight w:val="none"/>
        </w:rPr>
        <w:tab/>
      </w:r>
      <w:r>
        <w:rPr>
          <w:highlight w:val="none"/>
        </w:rPr>
        <w:fldChar w:fldCharType="begin"/>
      </w:r>
      <w:r>
        <w:rPr>
          <w:highlight w:val="none"/>
        </w:rPr>
        <w:instrText xml:space="preserve"> PAGEREF _Toc2896 \h </w:instrText>
      </w:r>
      <w:r>
        <w:rPr>
          <w:highlight w:val="none"/>
        </w:rPr>
        <w:fldChar w:fldCharType="separate"/>
      </w:r>
      <w:r>
        <w:rPr>
          <w:highlight w:val="none"/>
        </w:rPr>
        <w:t>42</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_Toc23819 </w:instrText>
      </w:r>
      <w:r>
        <w:rPr>
          <w:rFonts w:ascii="宋体" w:hAnsi="宋体" w:cs="宋体"/>
          <w:highlight w:val="none"/>
        </w:rPr>
        <w:fldChar w:fldCharType="separate"/>
      </w:r>
      <w:r>
        <w:rPr>
          <w:rFonts w:hint="eastAsia" w:ascii="宋体" w:hAnsi="宋体" w:cs="宋体"/>
          <w:szCs w:val="32"/>
          <w:highlight w:val="none"/>
        </w:rPr>
        <w:t>二、法定代表人身份证明书</w:t>
      </w:r>
      <w:r>
        <w:rPr>
          <w:highlight w:val="none"/>
        </w:rPr>
        <w:tab/>
      </w:r>
      <w:r>
        <w:rPr>
          <w:highlight w:val="none"/>
        </w:rPr>
        <w:fldChar w:fldCharType="begin"/>
      </w:r>
      <w:r>
        <w:rPr>
          <w:highlight w:val="none"/>
        </w:rPr>
        <w:instrText xml:space="preserve"> PAGEREF _Toc23819 \h </w:instrText>
      </w:r>
      <w:r>
        <w:rPr>
          <w:highlight w:val="none"/>
        </w:rPr>
        <w:fldChar w:fldCharType="separate"/>
      </w:r>
      <w:r>
        <w:rPr>
          <w:highlight w:val="none"/>
        </w:rPr>
        <w:t>43</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_Toc12644 </w:instrText>
      </w:r>
      <w:r>
        <w:rPr>
          <w:rFonts w:ascii="宋体" w:hAnsi="宋体" w:cs="宋体"/>
          <w:highlight w:val="none"/>
        </w:rPr>
        <w:fldChar w:fldCharType="separate"/>
      </w:r>
      <w:r>
        <w:rPr>
          <w:rFonts w:hint="eastAsia" w:ascii="宋体" w:hAnsi="宋体" w:cs="宋体"/>
          <w:szCs w:val="32"/>
          <w:highlight w:val="none"/>
        </w:rPr>
        <w:t>三、授权委托书</w:t>
      </w:r>
      <w:r>
        <w:rPr>
          <w:highlight w:val="none"/>
        </w:rPr>
        <w:tab/>
      </w:r>
      <w:r>
        <w:rPr>
          <w:highlight w:val="none"/>
        </w:rPr>
        <w:fldChar w:fldCharType="begin"/>
      </w:r>
      <w:r>
        <w:rPr>
          <w:highlight w:val="none"/>
        </w:rPr>
        <w:instrText xml:space="preserve"> PAGEREF _Toc12644 \h </w:instrText>
      </w:r>
      <w:r>
        <w:rPr>
          <w:highlight w:val="none"/>
        </w:rPr>
        <w:fldChar w:fldCharType="separate"/>
      </w:r>
      <w:r>
        <w:rPr>
          <w:highlight w:val="none"/>
        </w:rPr>
        <w:t>44</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_Toc26668 </w:instrText>
      </w:r>
      <w:r>
        <w:rPr>
          <w:rFonts w:ascii="宋体" w:hAnsi="宋体" w:cs="宋体"/>
          <w:highlight w:val="none"/>
        </w:rPr>
        <w:fldChar w:fldCharType="separate"/>
      </w:r>
      <w:r>
        <w:rPr>
          <w:rFonts w:hint="eastAsia" w:ascii="宋体" w:hAnsi="宋体" w:cs="宋体"/>
          <w:szCs w:val="32"/>
          <w:highlight w:val="none"/>
        </w:rPr>
        <w:t>四、谈判单位资格证明文件</w:t>
      </w:r>
      <w:r>
        <w:rPr>
          <w:highlight w:val="none"/>
        </w:rPr>
        <w:tab/>
      </w:r>
      <w:r>
        <w:rPr>
          <w:highlight w:val="none"/>
        </w:rPr>
        <w:fldChar w:fldCharType="begin"/>
      </w:r>
      <w:r>
        <w:rPr>
          <w:highlight w:val="none"/>
        </w:rPr>
        <w:instrText xml:space="preserve"> PAGEREF _Toc26668 \h </w:instrText>
      </w:r>
      <w:r>
        <w:rPr>
          <w:highlight w:val="none"/>
        </w:rPr>
        <w:fldChar w:fldCharType="separate"/>
      </w:r>
      <w:r>
        <w:rPr>
          <w:highlight w:val="none"/>
        </w:rPr>
        <w:t>45</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_Toc14088 </w:instrText>
      </w:r>
      <w:r>
        <w:rPr>
          <w:rFonts w:ascii="宋体" w:hAnsi="宋体" w:cs="宋体"/>
          <w:highlight w:val="none"/>
        </w:rPr>
        <w:fldChar w:fldCharType="separate"/>
      </w:r>
      <w:r>
        <w:rPr>
          <w:rFonts w:hint="eastAsia" w:ascii="宋体" w:hAnsi="宋体" w:cs="宋体"/>
          <w:szCs w:val="32"/>
          <w:highlight w:val="none"/>
        </w:rPr>
        <w:t>五、不拖欠农民工工资承诺书</w:t>
      </w:r>
      <w:r>
        <w:rPr>
          <w:highlight w:val="none"/>
        </w:rPr>
        <w:tab/>
      </w:r>
      <w:r>
        <w:rPr>
          <w:highlight w:val="none"/>
        </w:rPr>
        <w:fldChar w:fldCharType="begin"/>
      </w:r>
      <w:r>
        <w:rPr>
          <w:highlight w:val="none"/>
        </w:rPr>
        <w:instrText xml:space="preserve"> PAGEREF _Toc14088 \h </w:instrText>
      </w:r>
      <w:r>
        <w:rPr>
          <w:highlight w:val="none"/>
        </w:rPr>
        <w:fldChar w:fldCharType="separate"/>
      </w:r>
      <w:r>
        <w:rPr>
          <w:highlight w:val="none"/>
        </w:rPr>
        <w:t>47</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_Toc1226 </w:instrText>
      </w:r>
      <w:r>
        <w:rPr>
          <w:rFonts w:ascii="宋体" w:hAnsi="宋体" w:cs="宋体"/>
          <w:highlight w:val="none"/>
        </w:rPr>
        <w:fldChar w:fldCharType="separate"/>
      </w:r>
      <w:r>
        <w:rPr>
          <w:rFonts w:hint="eastAsia" w:ascii="宋体" w:hAnsi="宋体" w:cs="宋体"/>
          <w:kern w:val="2"/>
          <w:szCs w:val="32"/>
          <w:highlight w:val="none"/>
          <w:lang w:val="en-US" w:eastAsia="zh-CN" w:bidi="ar-SA"/>
        </w:rPr>
        <w:t>六、</w:t>
      </w:r>
      <w:r>
        <w:rPr>
          <w:rFonts w:hint="eastAsia" w:ascii="宋体" w:hAnsi="宋体" w:eastAsia="宋体" w:cs="宋体"/>
          <w:kern w:val="2"/>
          <w:szCs w:val="32"/>
          <w:highlight w:val="none"/>
          <w:lang w:val="en-US" w:eastAsia="zh-CN" w:bidi="ar-SA"/>
        </w:rPr>
        <w:t>商务详细</w:t>
      </w:r>
      <w:r>
        <w:rPr>
          <w:rFonts w:hint="eastAsia" w:ascii="宋体" w:hAnsi="宋体" w:cs="宋体"/>
          <w:kern w:val="2"/>
          <w:szCs w:val="32"/>
          <w:highlight w:val="none"/>
          <w:lang w:val="en-US" w:eastAsia="zh-CN" w:bidi="ar-SA"/>
        </w:rPr>
        <w:t>评审证明文件</w:t>
      </w:r>
      <w:r>
        <w:rPr>
          <w:highlight w:val="none"/>
        </w:rPr>
        <w:tab/>
      </w:r>
      <w:r>
        <w:rPr>
          <w:highlight w:val="none"/>
        </w:rPr>
        <w:fldChar w:fldCharType="begin"/>
      </w:r>
      <w:r>
        <w:rPr>
          <w:highlight w:val="none"/>
        </w:rPr>
        <w:instrText xml:space="preserve"> PAGEREF _Toc1226 \h </w:instrText>
      </w:r>
      <w:r>
        <w:rPr>
          <w:highlight w:val="none"/>
        </w:rPr>
        <w:fldChar w:fldCharType="separate"/>
      </w:r>
      <w:r>
        <w:rPr>
          <w:highlight w:val="none"/>
        </w:rPr>
        <w:t>48</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_Toc28857 </w:instrText>
      </w:r>
      <w:r>
        <w:rPr>
          <w:rFonts w:ascii="宋体" w:hAnsi="宋体" w:cs="宋体"/>
          <w:highlight w:val="none"/>
        </w:rPr>
        <w:fldChar w:fldCharType="separate"/>
      </w:r>
      <w:r>
        <w:rPr>
          <w:rFonts w:hint="eastAsia" w:ascii="宋体" w:hAnsi="宋体" w:cs="宋体"/>
          <w:kern w:val="2"/>
          <w:szCs w:val="32"/>
          <w:highlight w:val="none"/>
          <w:lang w:val="en-US" w:eastAsia="zh-CN" w:bidi="ar-SA"/>
        </w:rPr>
        <w:t>七、技术</w:t>
      </w:r>
      <w:r>
        <w:rPr>
          <w:rFonts w:hint="eastAsia" w:ascii="宋体" w:hAnsi="宋体" w:eastAsia="宋体" w:cs="宋体"/>
          <w:kern w:val="2"/>
          <w:szCs w:val="32"/>
          <w:highlight w:val="none"/>
          <w:lang w:val="en-US" w:eastAsia="zh-CN" w:bidi="ar-SA"/>
        </w:rPr>
        <w:t>详细</w:t>
      </w:r>
      <w:r>
        <w:rPr>
          <w:rFonts w:hint="eastAsia" w:ascii="宋体" w:hAnsi="宋体" w:cs="宋体"/>
          <w:kern w:val="2"/>
          <w:szCs w:val="32"/>
          <w:highlight w:val="none"/>
          <w:lang w:val="en-US" w:eastAsia="zh-CN" w:bidi="ar-SA"/>
        </w:rPr>
        <w:t>评审证明文件</w:t>
      </w:r>
      <w:r>
        <w:rPr>
          <w:highlight w:val="none"/>
        </w:rPr>
        <w:tab/>
      </w:r>
      <w:r>
        <w:rPr>
          <w:highlight w:val="none"/>
        </w:rPr>
        <w:fldChar w:fldCharType="begin"/>
      </w:r>
      <w:r>
        <w:rPr>
          <w:highlight w:val="none"/>
        </w:rPr>
        <w:instrText xml:space="preserve"> PAGEREF _Toc28857 \h </w:instrText>
      </w:r>
      <w:r>
        <w:rPr>
          <w:highlight w:val="none"/>
        </w:rPr>
        <w:fldChar w:fldCharType="separate"/>
      </w:r>
      <w:r>
        <w:rPr>
          <w:highlight w:val="none"/>
        </w:rPr>
        <w:t>53</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_Toc24761 </w:instrText>
      </w:r>
      <w:r>
        <w:rPr>
          <w:rFonts w:ascii="宋体" w:hAnsi="宋体" w:cs="宋体"/>
          <w:highlight w:val="none"/>
        </w:rPr>
        <w:fldChar w:fldCharType="separate"/>
      </w:r>
      <w:r>
        <w:rPr>
          <w:rFonts w:hint="eastAsia" w:ascii="宋体" w:hAnsi="宋体" w:cs="宋体"/>
          <w:szCs w:val="32"/>
          <w:highlight w:val="none"/>
          <w:lang w:eastAsia="zh-CN"/>
        </w:rPr>
        <w:t>八</w:t>
      </w:r>
      <w:r>
        <w:rPr>
          <w:rFonts w:hint="eastAsia" w:ascii="宋体" w:hAnsi="宋体" w:cs="宋体"/>
          <w:szCs w:val="32"/>
          <w:highlight w:val="none"/>
        </w:rPr>
        <w:t>、报价一览表</w:t>
      </w:r>
      <w:r>
        <w:rPr>
          <w:highlight w:val="none"/>
        </w:rPr>
        <w:tab/>
      </w:r>
      <w:r>
        <w:rPr>
          <w:highlight w:val="none"/>
        </w:rPr>
        <w:fldChar w:fldCharType="begin"/>
      </w:r>
      <w:r>
        <w:rPr>
          <w:highlight w:val="none"/>
        </w:rPr>
        <w:instrText xml:space="preserve"> PAGEREF _Toc24761 \h </w:instrText>
      </w:r>
      <w:r>
        <w:rPr>
          <w:highlight w:val="none"/>
        </w:rPr>
        <w:fldChar w:fldCharType="separate"/>
      </w:r>
      <w:r>
        <w:rPr>
          <w:highlight w:val="none"/>
        </w:rPr>
        <w:t>54</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_Toc6913 </w:instrText>
      </w:r>
      <w:r>
        <w:rPr>
          <w:rFonts w:ascii="宋体" w:hAnsi="宋体" w:cs="宋体"/>
          <w:highlight w:val="none"/>
        </w:rPr>
        <w:fldChar w:fldCharType="separate"/>
      </w:r>
      <w:r>
        <w:rPr>
          <w:rFonts w:hint="eastAsia" w:ascii="宋体" w:hAnsi="宋体" w:cs="宋体"/>
          <w:szCs w:val="32"/>
          <w:highlight w:val="none"/>
          <w:lang w:eastAsia="zh-CN"/>
        </w:rPr>
        <w:t>九</w:t>
      </w:r>
      <w:r>
        <w:rPr>
          <w:rFonts w:hint="eastAsia" w:ascii="宋体" w:hAnsi="宋体" w:cs="宋体"/>
          <w:szCs w:val="32"/>
          <w:highlight w:val="none"/>
        </w:rPr>
        <w:t>、</w:t>
      </w:r>
      <w:r>
        <w:rPr>
          <w:rFonts w:hint="eastAsia" w:ascii="宋体" w:hAnsi="宋体" w:cs="宋体"/>
          <w:szCs w:val="32"/>
          <w:highlight w:val="none"/>
          <w:lang w:eastAsia="zh-CN"/>
        </w:rPr>
        <w:t>谈判</w:t>
      </w:r>
      <w:r>
        <w:rPr>
          <w:rFonts w:hint="eastAsia" w:ascii="宋体" w:hAnsi="宋体" w:cs="宋体"/>
          <w:szCs w:val="32"/>
          <w:highlight w:val="none"/>
        </w:rPr>
        <w:t>报价表</w:t>
      </w:r>
      <w:r>
        <w:rPr>
          <w:highlight w:val="none"/>
        </w:rPr>
        <w:tab/>
      </w:r>
      <w:r>
        <w:rPr>
          <w:highlight w:val="none"/>
        </w:rPr>
        <w:fldChar w:fldCharType="begin"/>
      </w:r>
      <w:r>
        <w:rPr>
          <w:highlight w:val="none"/>
        </w:rPr>
        <w:instrText xml:space="preserve"> PAGEREF _Toc6913 \h </w:instrText>
      </w:r>
      <w:r>
        <w:rPr>
          <w:highlight w:val="none"/>
        </w:rPr>
        <w:fldChar w:fldCharType="separate"/>
      </w:r>
      <w:r>
        <w:rPr>
          <w:highlight w:val="none"/>
        </w:rPr>
        <w:t>55</w:t>
      </w:r>
      <w:r>
        <w:rPr>
          <w:highlight w:val="none"/>
        </w:rPr>
        <w:fldChar w:fldCharType="end"/>
      </w:r>
      <w:r>
        <w:rPr>
          <w:rFonts w:ascii="宋体" w:hAnsi="宋体" w:cs="宋体"/>
          <w:color w:val="auto"/>
          <w:highlight w:val="none"/>
        </w:rPr>
        <w:fldChar w:fldCharType="end"/>
      </w:r>
    </w:p>
    <w:p>
      <w:pPr>
        <w:pStyle w:val="38"/>
        <w:keepNext w:val="0"/>
        <w:keepLines w:val="0"/>
        <w:pageBreakBefore w:val="0"/>
        <w:widowControl w:val="0"/>
        <w:tabs>
          <w:tab w:val="right" w:leader="dot" w:pos="8901"/>
        </w:tabs>
        <w:kinsoku/>
        <w:wordWrap/>
        <w:overflowPunct/>
        <w:topLinePunct w:val="0"/>
        <w:autoSpaceDE/>
        <w:autoSpaceDN/>
        <w:bidi w:val="0"/>
        <w:adjustRightInd/>
        <w:snapToGrid/>
        <w:spacing w:line="440" w:lineRule="exact"/>
        <w:textAlignment w:val="auto"/>
        <w:rPr>
          <w:highlight w:val="none"/>
        </w:rPr>
      </w:pPr>
      <w:r>
        <w:rPr>
          <w:rFonts w:ascii="宋体" w:hAnsi="宋体" w:cs="宋体"/>
          <w:color w:val="auto"/>
          <w:highlight w:val="none"/>
        </w:rPr>
        <w:fldChar w:fldCharType="begin"/>
      </w:r>
      <w:r>
        <w:rPr>
          <w:rFonts w:ascii="宋体" w:hAnsi="宋体" w:cs="宋体"/>
          <w:highlight w:val="none"/>
        </w:rPr>
        <w:instrText xml:space="preserve"> HYPERLINK \l _Toc7235 </w:instrText>
      </w:r>
      <w:r>
        <w:rPr>
          <w:rFonts w:ascii="宋体" w:hAnsi="宋体" w:cs="宋体"/>
          <w:highlight w:val="none"/>
        </w:rPr>
        <w:fldChar w:fldCharType="separate"/>
      </w:r>
      <w:r>
        <w:rPr>
          <w:rFonts w:hint="eastAsia" w:ascii="宋体" w:hAnsi="宋体" w:cs="宋体"/>
          <w:szCs w:val="32"/>
          <w:highlight w:val="none"/>
          <w:lang w:eastAsia="zh-CN"/>
        </w:rPr>
        <w:t>十</w:t>
      </w:r>
      <w:r>
        <w:rPr>
          <w:rFonts w:hint="eastAsia" w:ascii="宋体" w:hAnsi="宋体" w:cs="宋体"/>
          <w:szCs w:val="32"/>
          <w:highlight w:val="none"/>
        </w:rPr>
        <w:t>、其他资料（如有）</w:t>
      </w:r>
      <w:r>
        <w:rPr>
          <w:highlight w:val="none"/>
        </w:rPr>
        <w:tab/>
      </w:r>
      <w:r>
        <w:rPr>
          <w:highlight w:val="none"/>
        </w:rPr>
        <w:fldChar w:fldCharType="begin"/>
      </w:r>
      <w:r>
        <w:rPr>
          <w:highlight w:val="none"/>
        </w:rPr>
        <w:instrText xml:space="preserve"> PAGEREF _Toc7235 \h </w:instrText>
      </w:r>
      <w:r>
        <w:rPr>
          <w:highlight w:val="none"/>
        </w:rPr>
        <w:fldChar w:fldCharType="separate"/>
      </w:r>
      <w:r>
        <w:rPr>
          <w:highlight w:val="none"/>
        </w:rPr>
        <w:t>56</w:t>
      </w:r>
      <w:r>
        <w:rPr>
          <w:highlight w:val="none"/>
        </w:rPr>
        <w:fldChar w:fldCharType="end"/>
      </w:r>
      <w:r>
        <w:rPr>
          <w:rFonts w:ascii="宋体" w:hAnsi="宋体" w:cs="宋体"/>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highlight w:val="none"/>
        </w:rPr>
      </w:pPr>
      <w:r>
        <w:rPr>
          <w:rFonts w:ascii="宋体" w:hAnsi="宋体" w:cs="宋体"/>
          <w:color w:val="auto"/>
          <w:highlight w:val="none"/>
        </w:rPr>
        <w:fldChar w:fldCharType="end"/>
      </w:r>
    </w:p>
    <w:p>
      <w:pPr>
        <w:pStyle w:val="3"/>
        <w:keepNext w:val="0"/>
        <w:rPr>
          <w:rFonts w:ascii="宋体" w:hAnsi="宋体" w:cs="宋体"/>
          <w:color w:val="auto"/>
          <w:sz w:val="32"/>
          <w:szCs w:val="32"/>
          <w:highlight w:val="none"/>
        </w:rPr>
        <w:sectPr>
          <w:footerReference r:id="rId4" w:type="default"/>
          <w:pgSz w:w="11906" w:h="16838"/>
          <w:pgMar w:top="1440" w:right="1474" w:bottom="1440" w:left="1531" w:header="851" w:footer="850" w:gutter="0"/>
          <w:pgNumType w:fmt="decimal" w:start="1"/>
          <w:cols w:space="0" w:num="1"/>
          <w:docGrid w:linePitch="312" w:charSpace="0"/>
        </w:sectPr>
      </w:pPr>
      <w:bookmarkStart w:id="1" w:name="_Toc5016"/>
      <w:bookmarkStart w:id="2" w:name="_Toc29614"/>
    </w:p>
    <w:p>
      <w:pPr>
        <w:pStyle w:val="3"/>
        <w:keepNext w:val="0"/>
        <w:spacing w:line="360" w:lineRule="auto"/>
        <w:rPr>
          <w:rFonts w:ascii="宋体" w:hAnsi="宋体" w:cs="宋体"/>
          <w:color w:val="auto"/>
          <w:sz w:val="32"/>
          <w:szCs w:val="32"/>
          <w:highlight w:val="none"/>
        </w:rPr>
      </w:pPr>
      <w:bookmarkStart w:id="3" w:name="_Toc25858"/>
      <w:bookmarkStart w:id="4" w:name="_Toc13376"/>
      <w:bookmarkStart w:id="5" w:name="_Toc11310"/>
      <w:r>
        <w:rPr>
          <w:rFonts w:hint="eastAsia" w:ascii="宋体" w:hAnsi="宋体" w:cs="宋体"/>
          <w:color w:val="auto"/>
          <w:sz w:val="32"/>
          <w:szCs w:val="32"/>
          <w:highlight w:val="none"/>
        </w:rPr>
        <w:t>第一章  谈判邀请公告</w:t>
      </w:r>
      <w:bookmarkEnd w:id="0"/>
      <w:bookmarkEnd w:id="1"/>
      <w:bookmarkEnd w:id="2"/>
      <w:bookmarkEnd w:id="3"/>
      <w:bookmarkEnd w:id="4"/>
      <w:bookmarkEnd w:id="5"/>
    </w:p>
    <w:p>
      <w:pPr>
        <w:pStyle w:val="26"/>
        <w:adjustRightInd w:val="0"/>
        <w:snapToGrid w:val="0"/>
        <w:spacing w:line="360" w:lineRule="auto"/>
        <w:rPr>
          <w:rFonts w:hAnsi="宋体" w:cs="宋体"/>
          <w:iCs/>
          <w:color w:val="auto"/>
          <w:highlight w:val="none"/>
          <w:u w:val="single"/>
        </w:rPr>
      </w:pPr>
    </w:p>
    <w:p>
      <w:pPr>
        <w:spacing w:line="360" w:lineRule="auto"/>
        <w:ind w:firstLine="420" w:firstLineChars="200"/>
        <w:rPr>
          <w:rFonts w:ascii="宋体" w:hAnsi="宋体" w:cs="宋体"/>
          <w:iCs/>
          <w:color w:val="auto"/>
          <w:szCs w:val="21"/>
          <w:highlight w:val="none"/>
          <w:u w:val="single"/>
        </w:rPr>
      </w:pPr>
      <w:r>
        <w:rPr>
          <w:rStyle w:val="56"/>
          <w:rFonts w:hint="eastAsia"/>
          <w:color w:val="auto"/>
          <w:kern w:val="0"/>
          <w:highlight w:val="none"/>
          <w:shd w:val="clear" w:color="auto" w:fill="FFFFFF"/>
        </w:rPr>
        <w:t>长沙市轨道</w:t>
      </w:r>
      <w:r>
        <w:rPr>
          <w:rStyle w:val="56"/>
          <w:rFonts w:hint="eastAsia"/>
          <w:color w:val="auto"/>
          <w:kern w:val="0"/>
          <w:highlight w:val="none"/>
          <w:shd w:val="clear" w:color="auto" w:fill="FFFFFF"/>
          <w:lang w:eastAsia="zh-CN"/>
        </w:rPr>
        <w:t>交通</w:t>
      </w:r>
      <w:r>
        <w:rPr>
          <w:rStyle w:val="56"/>
          <w:rFonts w:hint="eastAsia"/>
          <w:color w:val="auto"/>
          <w:kern w:val="0"/>
          <w:highlight w:val="none"/>
          <w:shd w:val="clear" w:color="auto" w:fill="FFFFFF"/>
        </w:rPr>
        <w:t>运营有限公司</w:t>
      </w:r>
      <w:r>
        <w:rPr>
          <w:rStyle w:val="56"/>
          <w:rFonts w:hint="eastAsia"/>
          <w:color w:val="auto"/>
          <w:kern w:val="0"/>
          <w:highlight w:val="none"/>
          <w:u w:val="none"/>
          <w:shd w:val="clear" w:color="auto" w:fill="FFFFFF"/>
        </w:rPr>
        <w:t>对</w:t>
      </w:r>
      <w:r>
        <w:rPr>
          <w:rFonts w:hint="eastAsia" w:ascii="Times New Roman" w:hAnsi="Times New Roman" w:eastAsia="宋体" w:cs="Times New Roman"/>
          <w:color w:val="000000"/>
          <w:kern w:val="2"/>
          <w:sz w:val="21"/>
          <w:szCs w:val="21"/>
          <w:highlight w:val="none"/>
          <w:u w:val="single"/>
          <w:lang w:val="en-US" w:eastAsia="zh-CN" w:bidi="ar-SA"/>
        </w:rPr>
        <w:t>长沙市轨道交通2号线一期工程运营期车站出入口硅纤板改造工程项目</w:t>
      </w:r>
      <w:r>
        <w:rPr>
          <w:rStyle w:val="56"/>
          <w:rFonts w:hint="eastAsia"/>
          <w:color w:val="auto"/>
          <w:kern w:val="0"/>
          <w:highlight w:val="none"/>
          <w:u w:val="none"/>
          <w:shd w:val="clear" w:color="auto" w:fill="FFFFFF"/>
        </w:rPr>
        <w:t>进行自主竞争性谈判采购，现发布公告，邀请符合条件的单位参与谈判采购活动，本项目为不含税报价。</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项目概况</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项目名称：</w:t>
      </w:r>
      <w:r>
        <w:rPr>
          <w:rFonts w:hint="eastAsia" w:ascii="Times New Roman" w:hAnsi="Times New Roman" w:eastAsia="宋体" w:cs="Times New Roman"/>
          <w:color w:val="000000"/>
          <w:kern w:val="2"/>
          <w:sz w:val="21"/>
          <w:szCs w:val="21"/>
          <w:highlight w:val="none"/>
          <w:lang w:val="en-US" w:eastAsia="zh-CN" w:bidi="ar-SA"/>
        </w:rPr>
        <w:t>长沙市轨道交通2号线一期工程运营期车站出入口硅纤板改造工程项目</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项目编号：长轨运工采【20</w:t>
      </w:r>
      <w:r>
        <w:rPr>
          <w:rStyle w:val="56"/>
          <w:rFonts w:hint="eastAsia"/>
          <w:color w:val="auto"/>
          <w:kern w:val="0"/>
          <w:highlight w:val="none"/>
          <w:u w:val="none"/>
          <w:shd w:val="clear" w:color="auto" w:fill="FFFFFF"/>
          <w:lang w:val="en-US" w:eastAsia="zh-CN"/>
        </w:rPr>
        <w:t>23</w:t>
      </w:r>
      <w:r>
        <w:rPr>
          <w:rStyle w:val="56"/>
          <w:rFonts w:hint="eastAsia"/>
          <w:color w:val="auto"/>
          <w:kern w:val="0"/>
          <w:highlight w:val="none"/>
          <w:u w:val="none"/>
          <w:shd w:val="clear" w:color="auto" w:fill="FFFFFF"/>
        </w:rPr>
        <w:t>】</w:t>
      </w:r>
      <w:r>
        <w:rPr>
          <w:rStyle w:val="56"/>
          <w:rFonts w:hint="eastAsia"/>
          <w:color w:val="auto"/>
          <w:kern w:val="0"/>
          <w:highlight w:val="none"/>
          <w:u w:val="none"/>
          <w:shd w:val="clear" w:color="auto" w:fill="FFFFFF"/>
          <w:lang w:val="en-US" w:eastAsia="zh-CN"/>
        </w:rPr>
        <w:t>001</w:t>
      </w:r>
      <w:r>
        <w:rPr>
          <w:rStyle w:val="56"/>
          <w:rFonts w:hint="eastAsia"/>
          <w:color w:val="auto"/>
          <w:kern w:val="0"/>
          <w:highlight w:val="none"/>
          <w:u w:val="none"/>
          <w:shd w:val="clear" w:color="auto" w:fill="FFFFFF"/>
        </w:rPr>
        <w:t>号</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最高限价：</w:t>
      </w:r>
      <w:r>
        <w:rPr>
          <w:rFonts w:hint="eastAsia" w:ascii="宋体" w:hAnsi="宋体" w:cs="宋体"/>
          <w:color w:val="auto"/>
          <w:szCs w:val="21"/>
          <w:highlight w:val="none"/>
          <w:lang w:val="en-US" w:eastAsia="zh-CN"/>
        </w:rPr>
        <w:t>787611.78</w:t>
      </w:r>
      <w:r>
        <w:rPr>
          <w:rFonts w:hint="eastAsia" w:ascii="宋体" w:hAnsi="宋体" w:cs="宋体"/>
          <w:bCs/>
          <w:color w:val="auto"/>
          <w:szCs w:val="21"/>
          <w:highlight w:val="none"/>
        </w:rPr>
        <w:t>元</w:t>
      </w:r>
    </w:p>
    <w:p>
      <w:pPr>
        <w:numPr>
          <w:ilvl w:val="0"/>
          <w:numId w:val="7"/>
        </w:num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标段划分：共划分1个标段。</w:t>
      </w:r>
    </w:p>
    <w:p>
      <w:pPr>
        <w:numPr>
          <w:ilvl w:val="0"/>
          <w:numId w:val="7"/>
        </w:numPr>
        <w:spacing w:line="360" w:lineRule="auto"/>
        <w:ind w:firstLine="420" w:firstLineChars="200"/>
        <w:rPr>
          <w:color w:val="auto"/>
          <w:kern w:val="0"/>
          <w:highlight w:val="none"/>
          <w:shd w:val="clear" w:color="auto" w:fill="FFFFFF"/>
        </w:rPr>
      </w:pPr>
      <w:r>
        <w:rPr>
          <w:rFonts w:hint="eastAsia" w:ascii="宋体" w:hAnsi="宋体" w:cs="宋体"/>
          <w:bCs/>
          <w:color w:val="auto"/>
          <w:szCs w:val="21"/>
          <w:highlight w:val="none"/>
        </w:rPr>
        <w:t>质保期：</w:t>
      </w:r>
      <w:r>
        <w:rPr>
          <w:rStyle w:val="56"/>
          <w:rFonts w:hint="eastAsia"/>
          <w:color w:val="auto"/>
          <w:kern w:val="0"/>
          <w:highlight w:val="none"/>
          <w:u w:val="none"/>
          <w:shd w:val="clear" w:color="auto" w:fill="FFFFFF"/>
        </w:rPr>
        <w:t>项目通过竣工验收并交付使用，视作进入质保期，质保期为24个月。如质保期内出现重大质量缺陷，质保期从该质量缺陷修复后起重新计算。重大质量缺陷的认定依照国家、省、市相关规定执行。（具体详见用户需求书）</w:t>
      </w:r>
    </w:p>
    <w:p>
      <w:pPr>
        <w:numPr>
          <w:ilvl w:val="0"/>
          <w:numId w:val="7"/>
        </w:numPr>
        <w:spacing w:line="360" w:lineRule="auto"/>
        <w:ind w:firstLine="420" w:firstLineChars="200"/>
        <w:rPr>
          <w:rStyle w:val="56"/>
          <w:color w:val="auto"/>
          <w:kern w:val="0"/>
          <w:highlight w:val="none"/>
          <w:u w:val="none"/>
          <w:shd w:val="clear" w:color="auto" w:fill="FFFFFF"/>
        </w:rPr>
      </w:pPr>
      <w:r>
        <w:rPr>
          <w:rFonts w:hint="eastAsia" w:ascii="宋体" w:hAnsi="宋体" w:cs="宋体"/>
          <w:bCs/>
          <w:color w:val="auto"/>
          <w:szCs w:val="21"/>
          <w:highlight w:val="none"/>
        </w:rPr>
        <w:t>施工工期：</w:t>
      </w:r>
      <w:r>
        <w:rPr>
          <w:rStyle w:val="56"/>
          <w:rFonts w:hint="eastAsia"/>
          <w:color w:val="auto"/>
          <w:kern w:val="0"/>
          <w:highlight w:val="none"/>
          <w:u w:val="none"/>
          <w:shd w:val="clear" w:color="auto" w:fill="FFFFFF"/>
        </w:rPr>
        <w:t>本项目施工工期</w:t>
      </w:r>
      <w:r>
        <w:rPr>
          <w:rFonts w:hint="eastAsia" w:ascii="Times New Roman" w:hAnsi="Times New Roman" w:eastAsia="宋体" w:cs="Times New Roman"/>
          <w:color w:val="000000"/>
          <w:kern w:val="2"/>
          <w:sz w:val="21"/>
          <w:szCs w:val="21"/>
          <w:highlight w:val="none"/>
          <w:lang w:val="en-US" w:eastAsia="zh-CN" w:bidi="ar-SA"/>
        </w:rPr>
        <w:t>以采购单位发出的开工通知日期起算，总计4个月内完成此项目所有施工（含竣工验收）</w:t>
      </w:r>
      <w:r>
        <w:rPr>
          <w:rStyle w:val="56"/>
          <w:rFonts w:hint="eastAsia"/>
          <w:color w:val="auto"/>
          <w:kern w:val="0"/>
          <w:highlight w:val="none"/>
          <w:u w:val="none"/>
          <w:shd w:val="clear" w:color="auto" w:fill="FFFFFF"/>
        </w:rPr>
        <w:t>（具体详见用户需求书）</w:t>
      </w:r>
    </w:p>
    <w:p>
      <w:pPr>
        <w:numPr>
          <w:ilvl w:val="0"/>
          <w:numId w:val="7"/>
        </w:numPr>
        <w:spacing w:line="360" w:lineRule="auto"/>
        <w:ind w:firstLine="420" w:firstLineChars="200"/>
        <w:rPr>
          <w:rFonts w:hint="eastAsia"/>
          <w:color w:val="auto"/>
          <w:kern w:val="0"/>
          <w:highlight w:val="none"/>
          <w:shd w:val="clear" w:color="auto" w:fill="FFFFFF"/>
        </w:rPr>
      </w:pPr>
      <w:r>
        <w:rPr>
          <w:rStyle w:val="56"/>
          <w:rFonts w:hint="eastAsia"/>
          <w:color w:val="auto"/>
          <w:kern w:val="0"/>
          <w:highlight w:val="none"/>
          <w:u w:val="none"/>
          <w:shd w:val="clear" w:color="auto" w:fill="FFFFFF"/>
        </w:rPr>
        <w:t>采购范围：本项目主要对</w:t>
      </w:r>
      <w:r>
        <w:rPr>
          <w:rFonts w:hint="eastAsia" w:ascii="Times New Roman" w:hAnsi="Times New Roman" w:eastAsia="宋体" w:cs="Times New Roman"/>
          <w:color w:val="000000"/>
          <w:kern w:val="2"/>
          <w:sz w:val="21"/>
          <w:szCs w:val="21"/>
          <w:highlight w:val="none"/>
          <w:lang w:val="en-US" w:eastAsia="zh-CN" w:bidi="ar-SA"/>
        </w:rPr>
        <w:t>长沙市轨道交通2号线一期工程五一广场站和沙湾公园站11个出入口硅纤板进行改造。主要内容包括：项目设计，原有装饰板、副龙骨拆除（如有），加装龙骨，安装铝蜂窝板，新增检修门和伪装门，垃圾清理外</w:t>
      </w:r>
      <w:r>
        <w:rPr>
          <w:rFonts w:hint="eastAsia" w:ascii="宋体" w:hAnsi="宋体" w:eastAsia="宋体" w:cs="宋体"/>
          <w:highlight w:val="none"/>
          <w:lang w:val="en-US" w:eastAsia="zh-CN"/>
        </w:rPr>
        <w:t>运等</w:t>
      </w:r>
      <w:r>
        <w:rPr>
          <w:rFonts w:hint="default" w:ascii="宋体" w:hAnsi="宋体" w:eastAsia="宋体" w:cs="宋体"/>
          <w:highlight w:val="none"/>
        </w:rPr>
        <w:t>。</w:t>
      </w:r>
      <w:r>
        <w:rPr>
          <w:rStyle w:val="56"/>
          <w:rFonts w:hint="eastAsia"/>
          <w:color w:val="auto"/>
          <w:kern w:val="0"/>
          <w:highlight w:val="none"/>
          <w:u w:val="none"/>
          <w:shd w:val="clear" w:color="auto" w:fill="FFFFFF"/>
        </w:rPr>
        <w:t>（具体详见用户需求书）</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资格要求</w:t>
      </w:r>
    </w:p>
    <w:p>
      <w:pPr>
        <w:numPr>
          <w:ilvl w:val="0"/>
          <w:numId w:val="8"/>
        </w:numPr>
        <w:spacing w:line="360" w:lineRule="auto"/>
        <w:ind w:left="0" w:leftChars="0" w:firstLine="420" w:firstLineChars="200"/>
        <w:rPr>
          <w:rStyle w:val="56"/>
          <w:rFonts w:hint="eastAsia" w:ascii="Times New Roman" w:hAnsi="Times New Roman" w:cs="Times New Roman"/>
          <w:color w:val="auto"/>
          <w:kern w:val="0"/>
          <w:highlight w:val="none"/>
          <w:u w:val="none"/>
          <w:shd w:val="clear" w:color="auto" w:fill="FFFFFF"/>
          <w:lang w:val="en-US" w:eastAsia="zh-CN"/>
        </w:rPr>
      </w:pPr>
      <w:r>
        <w:rPr>
          <w:rStyle w:val="56"/>
          <w:rFonts w:hint="eastAsia" w:ascii="Times New Roman" w:hAnsi="Times New Roman" w:cs="Times New Roman"/>
          <w:color w:val="auto"/>
          <w:kern w:val="0"/>
          <w:highlight w:val="none"/>
          <w:u w:val="none"/>
          <w:shd w:val="clear" w:color="auto" w:fill="FFFFFF"/>
          <w:lang w:val="en-US" w:eastAsia="zh-CN"/>
        </w:rPr>
        <w:t>谈判单位须为具有独立法人资格、自主经营、独立核算的公司/单位，须提供加盖谈判单位公章的营业执照复印件。</w:t>
      </w:r>
    </w:p>
    <w:p>
      <w:pPr>
        <w:numPr>
          <w:ilvl w:val="0"/>
          <w:numId w:val="8"/>
        </w:numPr>
        <w:spacing w:line="360" w:lineRule="auto"/>
        <w:ind w:left="0" w:leftChars="0" w:firstLine="420" w:firstLineChars="200"/>
        <w:rPr>
          <w:rStyle w:val="56"/>
          <w:rFonts w:hint="eastAsia" w:ascii="Times New Roman" w:hAnsi="Times New Roman" w:cs="Times New Roman"/>
          <w:color w:val="auto"/>
          <w:kern w:val="0"/>
          <w:highlight w:val="none"/>
          <w:u w:val="none"/>
          <w:shd w:val="clear" w:color="auto" w:fill="FFFFFF"/>
          <w:lang w:val="en-US" w:eastAsia="zh-CN"/>
        </w:rPr>
      </w:pPr>
      <w:r>
        <w:rPr>
          <w:rStyle w:val="56"/>
          <w:rFonts w:hint="eastAsia" w:ascii="Times New Roman" w:hAnsi="Times New Roman" w:cs="Times New Roman"/>
          <w:color w:val="auto"/>
          <w:kern w:val="0"/>
          <w:highlight w:val="none"/>
          <w:u w:val="none"/>
          <w:shd w:val="clear" w:color="auto" w:fill="FFFFFF"/>
          <w:lang w:val="en-US" w:eastAsia="zh-CN"/>
        </w:rPr>
        <w:t>谈判单位须具有建筑工程施工总承包三级（含）以上或建筑装修装饰工程专业承包二级（含）以上资质，须具有有效的施工企业《安全生产许可证》。</w:t>
      </w:r>
    </w:p>
    <w:p>
      <w:pPr>
        <w:numPr>
          <w:ilvl w:val="0"/>
          <w:numId w:val="8"/>
        </w:numPr>
        <w:spacing w:line="360" w:lineRule="auto"/>
        <w:ind w:left="0" w:leftChars="0" w:firstLine="420" w:firstLineChars="200"/>
        <w:rPr>
          <w:rStyle w:val="56"/>
          <w:rFonts w:hint="eastAsia" w:ascii="Times New Roman" w:hAnsi="Times New Roman" w:cs="Times New Roman"/>
          <w:color w:val="auto"/>
          <w:kern w:val="0"/>
          <w:highlight w:val="none"/>
          <w:u w:val="none"/>
          <w:shd w:val="clear" w:color="auto" w:fill="FFFFFF"/>
          <w:lang w:val="en-US" w:eastAsia="zh-CN"/>
        </w:rPr>
      </w:pPr>
      <w:r>
        <w:rPr>
          <w:rStyle w:val="56"/>
          <w:rFonts w:hint="eastAsia" w:ascii="Times New Roman" w:hAnsi="Times New Roman" w:cs="Times New Roman"/>
          <w:color w:val="auto"/>
          <w:kern w:val="0"/>
          <w:highlight w:val="none"/>
          <w:u w:val="none"/>
          <w:shd w:val="clear" w:color="auto" w:fill="FFFFFF"/>
          <w:lang w:val="en-US" w:eastAsia="zh-CN"/>
        </w:rPr>
        <w:t>本项目现场施工部关键岗位人员最低配备按《湖南省建设工程施工项目部和现场监理部关键岗位人员配备管理办法》湘建建【2020】208号文执行。详见附表《关键岗位人员最低配备要求表》。</w:t>
      </w:r>
    </w:p>
    <w:p>
      <w:pPr>
        <w:numPr>
          <w:ilvl w:val="0"/>
          <w:numId w:val="8"/>
        </w:numPr>
        <w:spacing w:line="360" w:lineRule="auto"/>
        <w:ind w:left="0" w:leftChars="0" w:firstLine="420" w:firstLineChars="200"/>
        <w:rPr>
          <w:rStyle w:val="56"/>
          <w:rFonts w:hint="eastAsia" w:ascii="Times New Roman" w:hAnsi="Times New Roman" w:cs="Times New Roman"/>
          <w:color w:val="auto"/>
          <w:kern w:val="0"/>
          <w:highlight w:val="none"/>
          <w:u w:val="none"/>
          <w:shd w:val="clear" w:color="auto" w:fill="FFFFFF"/>
          <w:lang w:val="en-US" w:eastAsia="zh-CN"/>
        </w:rPr>
      </w:pPr>
      <w:r>
        <w:rPr>
          <w:rStyle w:val="56"/>
          <w:rFonts w:hint="eastAsia" w:ascii="Times New Roman" w:hAnsi="Times New Roman" w:cs="Times New Roman"/>
          <w:color w:val="auto"/>
          <w:kern w:val="0"/>
          <w:highlight w:val="none"/>
          <w:u w:val="none"/>
          <w:shd w:val="clear" w:color="auto" w:fill="FFFFFF"/>
          <w:lang w:val="en-US" w:eastAsia="zh-CN"/>
        </w:rPr>
        <w:t>湖南省外企业须按照湘建建【2015】190号文件要求办理省外入湘企业基本情况登记（以“湖南省住房和城乡建设网”查询为准）或具有入湘施工登记证（处于有效期内）。</w:t>
      </w:r>
    </w:p>
    <w:p>
      <w:pPr>
        <w:numPr>
          <w:ilvl w:val="0"/>
          <w:numId w:val="8"/>
        </w:numPr>
        <w:spacing w:line="360" w:lineRule="auto"/>
        <w:ind w:left="0" w:leftChars="0" w:firstLine="420" w:firstLineChars="200"/>
        <w:rPr>
          <w:rStyle w:val="56"/>
          <w:rFonts w:hint="eastAsia" w:ascii="Times New Roman" w:hAnsi="Times New Roman" w:cs="Times New Roman"/>
          <w:color w:val="auto"/>
          <w:kern w:val="0"/>
          <w:highlight w:val="none"/>
          <w:u w:val="none"/>
          <w:shd w:val="clear" w:color="auto" w:fill="FFFFFF"/>
          <w:lang w:val="en-US" w:eastAsia="zh-CN"/>
        </w:rPr>
      </w:pPr>
      <w:r>
        <w:rPr>
          <w:rStyle w:val="56"/>
          <w:rFonts w:hint="eastAsia" w:ascii="Times New Roman" w:hAnsi="Times New Roman" w:cs="Times New Roman"/>
          <w:color w:val="auto"/>
          <w:kern w:val="0"/>
          <w:highlight w:val="none"/>
          <w:u w:val="none"/>
          <w:shd w:val="clear" w:color="auto" w:fill="FFFFFF"/>
          <w:lang w:val="en-US" w:eastAsia="zh-CN"/>
        </w:rPr>
        <w:t>本次采购不接受联合体。</w:t>
      </w:r>
    </w:p>
    <w:p>
      <w:pPr>
        <w:numPr>
          <w:ilvl w:val="0"/>
          <w:numId w:val="8"/>
        </w:numPr>
        <w:spacing w:line="360" w:lineRule="auto"/>
        <w:ind w:left="0" w:leftChars="0" w:firstLine="420" w:firstLineChars="200"/>
        <w:rPr>
          <w:rStyle w:val="56"/>
          <w:rFonts w:hint="eastAsia" w:ascii="Times New Roman" w:hAnsi="Times New Roman" w:cs="Times New Roman"/>
          <w:color w:val="auto"/>
          <w:kern w:val="0"/>
          <w:highlight w:val="none"/>
          <w:u w:val="none"/>
          <w:shd w:val="clear" w:color="auto" w:fill="FFFFFF"/>
          <w:lang w:val="en-US" w:eastAsia="zh-CN"/>
        </w:rPr>
      </w:pPr>
      <w:r>
        <w:rPr>
          <w:rStyle w:val="56"/>
          <w:rFonts w:hint="eastAsia" w:ascii="Times New Roman" w:hAnsi="Times New Roman" w:cs="Times New Roman"/>
          <w:color w:val="auto"/>
          <w:kern w:val="0"/>
          <w:highlight w:val="none"/>
          <w:u w:val="none"/>
          <w:shd w:val="clear" w:color="auto" w:fill="FFFFFF"/>
          <w:lang w:val="en-US" w:eastAsia="zh-CN"/>
        </w:rPr>
        <w:t>被长沙市轨道交通集团有限公司或长沙市轨道交通运营有限公司函告禁止在一定期限内参与投标的单位按函告内容执行。</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评审办法</w:t>
      </w:r>
    </w:p>
    <w:p>
      <w:pPr>
        <w:spacing w:line="360" w:lineRule="auto"/>
        <w:ind w:firstLine="420" w:firstLineChars="200"/>
        <w:rPr>
          <w:rStyle w:val="56"/>
          <w:rFonts w:hint="eastAsia" w:eastAsia="宋体"/>
          <w:color w:val="auto"/>
          <w:kern w:val="0"/>
          <w:highlight w:val="none"/>
          <w:u w:val="none"/>
          <w:shd w:val="clear" w:color="auto" w:fill="FFFFFF"/>
          <w:lang w:eastAsia="zh-CN"/>
        </w:rPr>
      </w:pPr>
      <w:r>
        <w:rPr>
          <w:rStyle w:val="56"/>
          <w:rFonts w:hint="eastAsia"/>
          <w:color w:val="auto"/>
          <w:kern w:val="0"/>
          <w:highlight w:val="none"/>
          <w:u w:val="none"/>
          <w:shd w:val="clear" w:color="auto" w:fill="FFFFFF"/>
        </w:rPr>
        <w:t xml:space="preserve">本项目评审办法采用： </w:t>
      </w:r>
      <w:r>
        <w:rPr>
          <w:rStyle w:val="56"/>
          <w:rFonts w:hint="eastAsia"/>
          <w:color w:val="auto"/>
          <w:kern w:val="0"/>
          <w:highlight w:val="none"/>
          <w:u w:val="none"/>
          <w:shd w:val="clear" w:color="auto" w:fill="FFFFFF"/>
        </w:rPr>
        <w:sym w:font="Wingdings" w:char="00A8"/>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w:char="00FE"/>
      </w:r>
      <w:r>
        <w:rPr>
          <w:rStyle w:val="56"/>
          <w:rFonts w:hint="eastAsia"/>
          <w:color w:val="auto"/>
          <w:kern w:val="0"/>
          <w:highlight w:val="none"/>
          <w:u w:val="none"/>
          <w:shd w:val="clear" w:color="auto" w:fill="FFFFFF"/>
          <w:lang w:eastAsia="zh-CN"/>
        </w:rPr>
        <w:t>综合评</w:t>
      </w:r>
      <w:r>
        <w:rPr>
          <w:rStyle w:val="56"/>
          <w:rFonts w:hint="eastAsia"/>
          <w:color w:val="auto"/>
          <w:kern w:val="0"/>
          <w:highlight w:val="none"/>
          <w:u w:val="none"/>
          <w:shd w:val="clear" w:color="auto" w:fill="FFFFFF"/>
          <w:lang w:val="en-US" w:eastAsia="zh-CN"/>
        </w:rPr>
        <w:t>估</w:t>
      </w:r>
      <w:r>
        <w:rPr>
          <w:rStyle w:val="56"/>
          <w:rFonts w:hint="eastAsia"/>
          <w:color w:val="auto"/>
          <w:kern w:val="0"/>
          <w:highlight w:val="none"/>
          <w:u w:val="none"/>
          <w:shd w:val="clear" w:color="auto" w:fill="FFFFFF"/>
          <w:lang w:eastAsia="zh-CN"/>
        </w:rPr>
        <w:t>法</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sectPr>
          <w:footerReference r:id="rId5" w:type="default"/>
          <w:pgSz w:w="11906" w:h="16838"/>
          <w:pgMar w:top="1440" w:right="1474" w:bottom="1440" w:left="1531" w:header="851" w:footer="851" w:gutter="0"/>
          <w:pgNumType w:fmt="decimal" w:start="1"/>
          <w:cols w:space="0" w:num="1"/>
          <w:docGrid w:linePitch="312" w:charSpace="0"/>
        </w:sectPr>
      </w:pP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自主竞争性谈判文件的获取</w:t>
      </w:r>
    </w:p>
    <w:p>
      <w:pPr>
        <w:spacing w:line="360" w:lineRule="auto"/>
        <w:ind w:firstLine="420" w:firstLineChars="200"/>
        <w:rPr>
          <w:rStyle w:val="56"/>
          <w:color w:val="auto"/>
          <w:kern w:val="0"/>
          <w:highlight w:val="none"/>
          <w:u w:val="none"/>
          <w:shd w:val="clear" w:color="auto" w:fill="FFFFFF"/>
        </w:rPr>
      </w:pPr>
      <w:r>
        <w:rPr>
          <w:rStyle w:val="56"/>
          <w:rFonts w:hint="eastAsia"/>
          <w:color w:val="auto"/>
          <w:kern w:val="0"/>
          <w:highlight w:val="none"/>
          <w:u w:val="none"/>
          <w:shd w:val="clear" w:color="auto" w:fill="FFFFFF"/>
        </w:rPr>
        <w:t>凡有意参加谈判的单位，自本公告发布之日起登录长沙市轨道交通集团有限公司官方网站（http://www.hncsmtr.com/）获取自主竞争性谈判文件。</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谈判文件的澄清与答疑</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本项目不组织答疑会和现场踏勘。</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谈判单位若对谈判文件有任何疑问，应于20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04</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none"/>
          <w:shd w:val="clear" w:color="auto" w:fill="FFFFFF"/>
          <w:lang w:val="en-US" w:eastAsia="zh-CN"/>
        </w:rPr>
        <w:t>12</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none"/>
          <w:shd w:val="clear" w:color="auto" w:fill="FFFFFF"/>
        </w:rPr>
        <w:t>17：00时（含）前（节假日除外）以书面形式（经法定代表人签字或盖章，并加盖单位公章）递交至采购</w:t>
      </w:r>
      <w:r>
        <w:rPr>
          <w:rStyle w:val="56"/>
          <w:rFonts w:hint="eastAsia" w:ascii="Times New Roman" w:hAnsi="Times New Roman" w:cs="Times New Roman"/>
          <w:color w:val="auto"/>
          <w:sz w:val="21"/>
          <w:highlight w:val="none"/>
          <w:u w:val="none"/>
          <w:shd w:val="clear" w:color="auto" w:fill="FFFFFF"/>
          <w:lang w:eastAsia="zh-CN"/>
        </w:rPr>
        <w:t>单位</w:t>
      </w:r>
      <w:r>
        <w:rPr>
          <w:rStyle w:val="56"/>
          <w:rFonts w:hint="eastAsia" w:ascii="Times New Roman" w:hAnsi="Times New Roman" w:cs="Times New Roman"/>
          <w:color w:val="auto"/>
          <w:sz w:val="21"/>
          <w:highlight w:val="none"/>
          <w:u w:val="none"/>
          <w:shd w:val="clear" w:color="auto" w:fill="FFFFFF"/>
        </w:rPr>
        <w:t>。</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在谈判截止时间前，采购单位可主动地或在解答谈判单位提出的问题时对谈判文件进行澄清或修改。</w:t>
      </w:r>
    </w:p>
    <w:p>
      <w:pPr>
        <w:pStyle w:val="42"/>
        <w:numPr>
          <w:ilvl w:val="0"/>
          <w:numId w:val="9"/>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2"/>
          <w:highlight w:val="none"/>
          <w:u w:val="none"/>
          <w:shd w:val="clear" w:color="auto" w:fill="FFFFFF"/>
        </w:rPr>
      </w:pPr>
      <w:r>
        <w:rPr>
          <w:rStyle w:val="56"/>
          <w:rFonts w:hint="eastAsia" w:ascii="Times New Roman" w:hAnsi="Times New Roman" w:cs="Times New Roman"/>
          <w:color w:val="auto"/>
          <w:sz w:val="21"/>
          <w:szCs w:val="22"/>
          <w:highlight w:val="none"/>
          <w:u w:val="none"/>
          <w:shd w:val="clear" w:color="auto" w:fill="FFFFFF"/>
        </w:rPr>
        <w:t>澄清或者修改的内容可能影响响应文件编制的，采购单位应当在提交响应文件截止之日3个工作日前，在长沙市轨道交通集团有限公司官方网站（http://www.hncsmtr.com/）发布澄清或答疑文件及顺延谈判时间，敬请获得谈判文件的所有谈判单位关注，恕不另行通知，如有遗漏，采购单位不负任何责任。</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谈判保证金提交与退还</w:t>
      </w:r>
    </w:p>
    <w:p>
      <w:pPr>
        <w:pStyle w:val="42"/>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A8"/>
      </w:r>
      <w:r>
        <w:rPr>
          <w:rStyle w:val="56"/>
          <w:rFonts w:hint="eastAsia" w:ascii="Times New Roman" w:hAnsi="Times New Roman" w:cs="Times New Roman"/>
          <w:color w:val="auto"/>
          <w:sz w:val="21"/>
          <w:highlight w:val="none"/>
          <w:u w:val="none"/>
          <w:shd w:val="clear" w:color="auto" w:fill="FFFFFF"/>
        </w:rPr>
        <w:t>不要求提交谈判保证金。</w:t>
      </w:r>
    </w:p>
    <w:p>
      <w:pPr>
        <w:pStyle w:val="42"/>
        <w:shd w:val="clear" w:color="auto" w:fill="FFFFFF"/>
        <w:spacing w:before="0" w:beforeAutospacing="0" w:after="0" w:afterAutospacing="0" w:line="360" w:lineRule="auto"/>
        <w:ind w:left="420" w:leftChars="200"/>
        <w:jc w:val="both"/>
        <w:rPr>
          <w:rStyle w:val="56"/>
          <w:rFonts w:ascii="Times New Roman" w:hAnsi="Times New Roman" w:cs="Times New Roman"/>
          <w:color w:val="auto"/>
          <w:sz w:val="21"/>
          <w:highlight w:val="none"/>
          <w:u w:val="none"/>
          <w:shd w:val="clear" w:color="auto" w:fill="FFFFFF"/>
        </w:rPr>
      </w:pPr>
      <w:r>
        <w:rPr>
          <w:rFonts w:hint="eastAsia"/>
          <w:color w:val="auto"/>
          <w:sz w:val="21"/>
          <w:szCs w:val="21"/>
          <w:highlight w:val="none"/>
          <w:shd w:val="clear" w:color="auto" w:fill="FFFFFF"/>
          <w:lang w:bidi="ar"/>
        </w:rPr>
        <w:sym w:font="Wingdings" w:char="00FE"/>
      </w:r>
      <w:r>
        <w:rPr>
          <w:rFonts w:hint="eastAsia"/>
          <w:color w:val="auto"/>
          <w:sz w:val="21"/>
          <w:szCs w:val="21"/>
          <w:highlight w:val="none"/>
          <w:shd w:val="clear" w:color="auto" w:fill="FFFFFF"/>
          <w:lang w:bidi="ar"/>
        </w:rPr>
        <w:t>要求提交谈判保证金，具体要求如下：</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谈判单位须在城轨采购网（网址：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Style w:val="56"/>
          <w:rFonts w:hint="eastAsia" w:ascii="Times New Roman" w:hAnsi="Times New Roman" w:cs="Times New Roman"/>
          <w:color w:val="auto"/>
          <w:sz w:val="21"/>
          <w:highlight w:val="none"/>
          <w:u w:val="none"/>
          <w:shd w:val="clear" w:color="auto" w:fill="FFFFFF"/>
        </w:rPr>
        <w:t>www.mtrmart.com）注册参与并按要求提交谈判保证金。本次谈判保证金的金额为（人民币）</w:t>
      </w:r>
      <w:r>
        <w:rPr>
          <w:rStyle w:val="56"/>
          <w:rFonts w:hint="eastAsia" w:ascii="Times New Roman" w:hAnsi="Times New Roman" w:cs="Times New Roman"/>
          <w:color w:val="auto"/>
          <w:sz w:val="21"/>
          <w:highlight w:val="none"/>
          <w:u w:val="none"/>
          <w:shd w:val="clear" w:color="auto" w:fill="FFFFFF"/>
        </w:rPr>
        <w:fldChar w:fldCharType="end"/>
      </w:r>
      <w:r>
        <w:rPr>
          <w:rStyle w:val="56"/>
          <w:rFonts w:hint="eastAsia" w:ascii="Times New Roman" w:hAnsi="Times New Roman" w:cs="Times New Roman"/>
          <w:color w:val="auto"/>
          <w:sz w:val="21"/>
          <w:highlight w:val="none"/>
          <w:u w:val="single"/>
          <w:shd w:val="clear" w:color="auto" w:fill="FFFFFF"/>
          <w:lang w:val="en-US" w:eastAsia="zh-CN"/>
        </w:rPr>
        <w:t>壹万伍仟柒佰元整</w:t>
      </w:r>
      <w:r>
        <w:rPr>
          <w:rFonts w:hint="eastAsia"/>
          <w:color w:val="auto"/>
          <w:sz w:val="21"/>
          <w:szCs w:val="21"/>
          <w:highlight w:val="none"/>
          <w:shd w:val="clear" w:color="auto" w:fill="FFFFFF"/>
          <w:lang w:bidi="ar"/>
        </w:rPr>
        <w:t>（¥</w:t>
      </w:r>
      <w:r>
        <w:rPr>
          <w:rFonts w:hint="eastAsia"/>
          <w:color w:val="auto"/>
          <w:sz w:val="21"/>
          <w:szCs w:val="21"/>
          <w:highlight w:val="none"/>
          <w:u w:val="single"/>
          <w:shd w:val="clear" w:color="auto" w:fill="FFFFFF"/>
          <w:lang w:val="en-US" w:eastAsia="zh-CN" w:bidi="ar"/>
        </w:rPr>
        <w:t>15700</w:t>
      </w:r>
      <w:r>
        <w:rPr>
          <w:rFonts w:hint="eastAsia"/>
          <w:color w:val="auto"/>
          <w:sz w:val="21"/>
          <w:szCs w:val="21"/>
          <w:highlight w:val="none"/>
          <w:shd w:val="clear" w:color="auto" w:fill="FFFFFF"/>
          <w:lang w:bidi="ar"/>
        </w:rPr>
        <w:t>元）</w:t>
      </w:r>
      <w:r>
        <w:rPr>
          <w:rStyle w:val="56"/>
          <w:rFonts w:hint="eastAsia" w:ascii="Times New Roman" w:hAnsi="Times New Roman" w:cs="Times New Roman"/>
          <w:color w:val="auto"/>
          <w:sz w:val="21"/>
          <w:highlight w:val="none"/>
          <w:u w:val="none"/>
          <w:shd w:val="clear" w:color="auto" w:fill="FFFFFF"/>
        </w:rPr>
        <w:t>，谈判保证金必须由谈判单位的银行对公账户一次性转出，提交谈判保证金的账户名称应与谈判单位的名称一致，不得以分支机构等其他名义提交。否则将无权限参加本次谈判。</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本次参与谈判单位的谈判保证金必须在20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04</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none"/>
          <w:shd w:val="clear" w:color="auto" w:fill="FFFFFF"/>
          <w:lang w:val="en-US" w:eastAsia="zh-CN"/>
        </w:rPr>
        <w:t>18</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none"/>
          <w:shd w:val="clear" w:color="auto" w:fill="FFFFFF"/>
          <w:lang w:val="en-US" w:eastAsia="zh-CN"/>
        </w:rPr>
        <w:t>9:00</w:t>
      </w:r>
      <w:r>
        <w:rPr>
          <w:rStyle w:val="56"/>
          <w:rFonts w:hint="eastAsia" w:ascii="Times New Roman" w:hAnsi="Times New Roman" w:cs="Times New Roman"/>
          <w:color w:val="auto"/>
          <w:sz w:val="21"/>
          <w:highlight w:val="none"/>
          <w:u w:val="none"/>
          <w:shd w:val="clear" w:color="auto" w:fill="FFFFFF"/>
        </w:rPr>
        <w:t>前(含)到达专用账户（以托管银行到账的日期为准），逾期或未提交谈判保证金的谈判单位，将无权限参加本次谈判。</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本次谈判保证金的提交仅接受银行转账的方式，谈判保证金由广州地铁物资有限公司代收、代退。账户名为广州地铁物资有限公司（开户分行：平安银行广州分行营业部），城轨采购网（网址：www.mtrmart.com）系统会为本项目自动生成谈判保证金账户信息（虚拟子账户），相关账户信息以实际信息为准。</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保证金的退还：未中选单位的谈判保证金，将在其确定对本项目谈判采购过程及结果无异议，且在中选结果公示截止后予以退还谈判保证金；中选单位的谈判保证金将在签署合同并提交履约保证金后予以退还。如在退还谈判保证金时发生银行费用，则在谈判保证金金额内扣减后将余额退回。</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项目终止谈判保证金退还，已经收取谈判保证金的，将在终止采购活动后无息退还所收取的谈判保证金。重新组织采购时，谈判单位应当重新获取保证金账号，并提交谈判保证金。</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谈判单位在谈判截止时间前撤回已提交的响应文件的，将在收到供应商书面撤回通知后，退还已收取的谈判保证金。</w:t>
      </w:r>
    </w:p>
    <w:p>
      <w:pPr>
        <w:pStyle w:val="42"/>
        <w:numPr>
          <w:ilvl w:val="0"/>
          <w:numId w:val="10"/>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出现包括但不限于下列情况的，采购单位将按照长沙市轨道交通运营有限公司相关制度和合同条款等相关规定，视其情节轻重，给予没收部分或全部谈判保证金，并出具书面处理决定，除此之外，如谈判单位给采购单位造成的损失超过谈判保证金数额的，谈判单位应当对超过部分给予赔偿。</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谈判单位提出撤回或撤销或放弃中选资格或对报价提出实质性修改；</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中选单位未能在规定期限内签订合同或不按报价结果签订合同；</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中选单位未能在规定期限内提交履约保证金；</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中选单位在合同订立过程中未能完全响应采购文件、清单、附件、合同要求以致合同无法订立的；</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经查实谈判单位报价资料弄虚作假的；</w:t>
      </w:r>
    </w:p>
    <w:p>
      <w:pPr>
        <w:pStyle w:val="42"/>
        <w:numPr>
          <w:ilvl w:val="0"/>
          <w:numId w:val="11"/>
        </w:numPr>
        <w:shd w:val="clear" w:color="auto" w:fill="FFFFFF"/>
        <w:spacing w:before="0" w:beforeAutospacing="0" w:after="0" w:afterAutospacing="0" w:line="360" w:lineRule="auto"/>
        <w:ind w:left="0"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串通参与谈判相关行为的。如不同谈判单位的谈判保证金从同一账户转出。</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响应文件的递交</w:t>
      </w:r>
    </w:p>
    <w:p>
      <w:pPr>
        <w:pStyle w:val="42"/>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响应文件递交的截止时间及谈判时间为20</w:t>
      </w:r>
      <w:r>
        <w:rPr>
          <w:rStyle w:val="56"/>
          <w:rFonts w:hint="eastAsia" w:ascii="Times New Roman" w:hAnsi="Times New Roman" w:cs="Times New Roman"/>
          <w:color w:val="auto"/>
          <w:sz w:val="21"/>
          <w:highlight w:val="none"/>
          <w:u w:val="none"/>
          <w:shd w:val="clear" w:color="auto" w:fill="FFFFFF"/>
          <w:lang w:val="en-US" w:eastAsia="zh-CN"/>
        </w:rPr>
        <w:t>23</w:t>
      </w:r>
      <w:r>
        <w:rPr>
          <w:rStyle w:val="56"/>
          <w:rFonts w:hint="eastAsia" w:ascii="Times New Roman" w:hAnsi="Times New Roman" w:cs="Times New Roman"/>
          <w:color w:val="auto"/>
          <w:sz w:val="21"/>
          <w:highlight w:val="none"/>
          <w:u w:val="none"/>
          <w:shd w:val="clear" w:color="auto" w:fill="FFFFFF"/>
        </w:rPr>
        <w:t>年</w:t>
      </w:r>
      <w:r>
        <w:rPr>
          <w:rStyle w:val="56"/>
          <w:rFonts w:hint="eastAsia" w:ascii="Times New Roman" w:hAnsi="Times New Roman" w:cs="Times New Roman"/>
          <w:color w:val="auto"/>
          <w:sz w:val="21"/>
          <w:highlight w:val="none"/>
          <w:u w:val="none"/>
          <w:shd w:val="clear" w:color="auto" w:fill="FFFFFF"/>
          <w:lang w:val="en-US" w:eastAsia="zh-CN"/>
        </w:rPr>
        <w:t>04</w:t>
      </w:r>
      <w:r>
        <w:rPr>
          <w:rStyle w:val="56"/>
          <w:rFonts w:hint="eastAsia" w:ascii="Times New Roman" w:hAnsi="Times New Roman" w:cs="Times New Roman"/>
          <w:color w:val="auto"/>
          <w:sz w:val="21"/>
          <w:highlight w:val="none"/>
          <w:u w:val="none"/>
          <w:shd w:val="clear" w:color="auto" w:fill="FFFFFF"/>
        </w:rPr>
        <w:t>月</w:t>
      </w:r>
      <w:r>
        <w:rPr>
          <w:rStyle w:val="56"/>
          <w:rFonts w:hint="eastAsia" w:ascii="Times New Roman" w:hAnsi="Times New Roman" w:cs="Times New Roman"/>
          <w:color w:val="auto"/>
          <w:sz w:val="21"/>
          <w:highlight w:val="none"/>
          <w:u w:val="none"/>
          <w:shd w:val="clear" w:color="auto" w:fill="FFFFFF"/>
          <w:lang w:val="en-US" w:eastAsia="zh-CN"/>
        </w:rPr>
        <w:t>18</w:t>
      </w:r>
      <w:r>
        <w:rPr>
          <w:rStyle w:val="56"/>
          <w:rFonts w:hint="eastAsia" w:ascii="Times New Roman" w:hAnsi="Times New Roman" w:cs="Times New Roman"/>
          <w:color w:val="auto"/>
          <w:sz w:val="21"/>
          <w:highlight w:val="none"/>
          <w:u w:val="none"/>
          <w:shd w:val="clear" w:color="auto" w:fill="FFFFFF"/>
        </w:rPr>
        <w:t>日</w:t>
      </w:r>
      <w:r>
        <w:rPr>
          <w:rStyle w:val="56"/>
          <w:rFonts w:hint="eastAsia" w:ascii="Times New Roman" w:hAnsi="Times New Roman" w:cs="Times New Roman"/>
          <w:color w:val="auto"/>
          <w:sz w:val="21"/>
          <w:highlight w:val="none"/>
          <w:u w:val="none"/>
          <w:shd w:val="clear" w:color="auto" w:fill="FFFFFF"/>
          <w:lang w:val="en-US" w:eastAsia="zh-CN"/>
        </w:rPr>
        <w:t>10</w:t>
      </w:r>
      <w:r>
        <w:rPr>
          <w:rStyle w:val="56"/>
          <w:rFonts w:hint="eastAsia" w:ascii="Times New Roman" w:hAnsi="Times New Roman" w:cs="Times New Roman"/>
          <w:color w:val="auto"/>
          <w:sz w:val="21"/>
          <w:highlight w:val="none"/>
          <w:u w:val="none"/>
          <w:shd w:val="clear" w:color="auto" w:fill="FFFFFF"/>
        </w:rPr>
        <w:t>时</w:t>
      </w:r>
      <w:r>
        <w:rPr>
          <w:rStyle w:val="56"/>
          <w:rFonts w:hint="eastAsia" w:ascii="Times New Roman" w:hAnsi="Times New Roman" w:cs="Times New Roman"/>
          <w:color w:val="auto"/>
          <w:sz w:val="21"/>
          <w:highlight w:val="none"/>
          <w:u w:val="none"/>
          <w:shd w:val="clear" w:color="auto" w:fill="FFFFFF"/>
          <w:lang w:val="en-US" w:eastAsia="zh-CN"/>
        </w:rPr>
        <w:t>30</w:t>
      </w:r>
      <w:r>
        <w:rPr>
          <w:rStyle w:val="56"/>
          <w:rFonts w:hint="eastAsia" w:ascii="Times New Roman" w:hAnsi="Times New Roman" w:cs="Times New Roman"/>
          <w:color w:val="auto"/>
          <w:sz w:val="21"/>
          <w:highlight w:val="none"/>
          <w:u w:val="none"/>
          <w:shd w:val="clear" w:color="auto" w:fill="FFFFFF"/>
        </w:rPr>
        <w:t>分</w:t>
      </w:r>
      <w:r>
        <w:rPr>
          <w:rStyle w:val="56"/>
          <w:rFonts w:hint="eastAsia" w:ascii="Times New Roman" w:hAnsi="Times New Roman" w:cs="Times New Roman"/>
          <w:color w:val="auto"/>
          <w:sz w:val="21"/>
          <w:highlight w:val="none"/>
          <w:u w:val="none"/>
          <w:shd w:val="clear" w:color="auto" w:fill="FFFFFF"/>
        </w:rPr>
        <w:t>，地点为长沙市劳动东路二段48号黄兴车辆段综合楼9楼910电子评标室。</w:t>
      </w:r>
    </w:p>
    <w:p>
      <w:pPr>
        <w:pStyle w:val="42"/>
        <w:numPr>
          <w:ilvl w:val="0"/>
          <w:numId w:val="12"/>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highlight w:val="none"/>
          <w:u w:val="none"/>
          <w:shd w:val="clear" w:color="auto" w:fill="FFFFFF"/>
        </w:rPr>
      </w:pPr>
      <w:r>
        <w:rPr>
          <w:rStyle w:val="56"/>
          <w:rFonts w:hint="eastAsia" w:ascii="Times New Roman" w:hAnsi="Times New Roman" w:cs="Times New Roman"/>
          <w:color w:val="auto"/>
          <w:sz w:val="21"/>
          <w:highlight w:val="none"/>
          <w:u w:val="none"/>
          <w:shd w:val="clear" w:color="auto" w:fill="FFFFFF"/>
        </w:rPr>
        <w:t>逾期送达的或者未送达指定地点的或者未密封的响应文件（含电子文件），采购单位将予以拒收。</w:t>
      </w:r>
    </w:p>
    <w:p>
      <w:pPr>
        <w:pStyle w:val="42"/>
        <w:numPr>
          <w:ilvl w:val="0"/>
          <w:numId w:val="6"/>
        </w:numPr>
        <w:shd w:val="clear" w:color="auto" w:fill="FFFFFF"/>
        <w:spacing w:before="0" w:beforeAutospacing="0" w:after="0" w:afterAutospacing="0" w:line="360" w:lineRule="auto"/>
        <w:ind w:firstLine="422" w:firstLineChars="200"/>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中选原则</w:t>
      </w:r>
    </w:p>
    <w:p>
      <w:pPr>
        <w:keepNext w:val="0"/>
        <w:keepLines w:val="0"/>
        <w:pageBreakBefore w:val="0"/>
        <w:numPr>
          <w:ilvl w:val="0"/>
          <w:numId w:val="13"/>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谈判评审小组按照综合得分由高到低的顺序推荐不超过3名中选候选人，并对排名第一的中选候选人进行公示。经公示无异议后，确定排名第一的中选候选人为中选人。</w:t>
      </w:r>
    </w:p>
    <w:p>
      <w:pPr>
        <w:pStyle w:val="42"/>
        <w:numPr>
          <w:ilvl w:val="0"/>
          <w:numId w:val="13"/>
        </w:numPr>
        <w:shd w:val="clear" w:color="auto" w:fill="FFFFFF"/>
        <w:spacing w:before="0" w:beforeAutospacing="0" w:after="0" w:afterAutospacing="0" w:line="360" w:lineRule="auto"/>
        <w:ind w:left="0" w:leftChars="0" w:firstLine="420" w:firstLineChars="200"/>
        <w:jc w:val="both"/>
        <w:rPr>
          <w:rStyle w:val="56"/>
          <w:rFonts w:ascii="Times New Roman" w:hAnsi="Times New Roman" w:cs="Times New Roman"/>
          <w:b/>
          <w:bCs/>
          <w:color w:val="auto"/>
          <w:sz w:val="21"/>
          <w:highlight w:val="none"/>
          <w:u w:val="none"/>
          <w:shd w:val="clear" w:color="auto" w:fill="FFFFFF"/>
        </w:rPr>
      </w:pPr>
      <w:r>
        <w:rPr>
          <w:rFonts w:hint="eastAsia" w:ascii="Times New Roman" w:hAnsi="Times New Roman" w:eastAsia="宋体" w:cs="Times New Roman"/>
          <w:color w:val="000000"/>
          <w:kern w:val="2"/>
          <w:sz w:val="21"/>
          <w:szCs w:val="21"/>
          <w:highlight w:val="none"/>
          <w:lang w:val="en-US" w:eastAsia="zh-CN" w:bidi="ar-SA"/>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42"/>
        <w:numPr>
          <w:ilvl w:val="0"/>
          <w:numId w:val="6"/>
        </w:numPr>
        <w:shd w:val="clear" w:color="auto" w:fill="FFFFFF"/>
        <w:spacing w:before="0" w:beforeAutospacing="0" w:after="0" w:afterAutospacing="0" w:line="360" w:lineRule="auto"/>
        <w:ind w:left="-2" w:firstLine="422"/>
        <w:jc w:val="both"/>
        <w:rPr>
          <w:rStyle w:val="56"/>
          <w:rFonts w:ascii="Times New Roman" w:hAnsi="Times New Roman" w:cs="Times New Roman"/>
          <w:b/>
          <w:bCs/>
          <w:color w:val="auto"/>
          <w:sz w:val="21"/>
          <w:highlight w:val="none"/>
          <w:u w:val="none"/>
          <w:shd w:val="clear" w:color="auto" w:fill="FFFFFF"/>
        </w:rPr>
      </w:pPr>
      <w:r>
        <w:rPr>
          <w:rStyle w:val="56"/>
          <w:rFonts w:hint="eastAsia" w:ascii="Times New Roman" w:hAnsi="Times New Roman" w:cs="Times New Roman"/>
          <w:b/>
          <w:bCs/>
          <w:color w:val="auto"/>
          <w:sz w:val="21"/>
          <w:highlight w:val="none"/>
          <w:u w:val="none"/>
          <w:shd w:val="clear" w:color="auto" w:fill="FFFFFF"/>
        </w:rPr>
        <w:t>异议与投诉</w:t>
      </w:r>
    </w:p>
    <w:p>
      <w:pPr>
        <w:pStyle w:val="42"/>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供应商或者其他利害关系人对评审结果有异议的，应当在结果公示规定的期限内向采购人提出。异议的提出与处理按《长沙市轨道交通运营有限公司工程类采购</w:t>
      </w:r>
      <w:r>
        <w:rPr>
          <w:rStyle w:val="56"/>
          <w:rFonts w:hint="eastAsia" w:ascii="Times New Roman" w:hAnsi="Times New Roman" w:cs="Times New Roman"/>
          <w:color w:val="auto"/>
          <w:sz w:val="21"/>
          <w:szCs w:val="21"/>
          <w:highlight w:val="none"/>
          <w:u w:val="none"/>
          <w:shd w:val="clear" w:color="auto" w:fill="FFFFFF"/>
          <w:lang w:eastAsia="zh-CN"/>
        </w:rPr>
        <w:t>项目</w:t>
      </w:r>
      <w:r>
        <w:rPr>
          <w:rStyle w:val="56"/>
          <w:rFonts w:hint="eastAsia" w:ascii="Times New Roman" w:hAnsi="Times New Roman" w:cs="Times New Roman"/>
          <w:color w:val="auto"/>
          <w:sz w:val="21"/>
          <w:szCs w:val="21"/>
          <w:highlight w:val="none"/>
          <w:u w:val="none"/>
          <w:shd w:val="clear" w:color="auto" w:fill="FFFFFF"/>
        </w:rPr>
        <w:t>管理办法(试行）》执行。</w:t>
      </w:r>
    </w:p>
    <w:p>
      <w:pPr>
        <w:pStyle w:val="42"/>
        <w:numPr>
          <w:ilvl w:val="0"/>
          <w:numId w:val="14"/>
        </w:numPr>
        <w:shd w:val="clear" w:color="auto" w:fill="FFFFFF"/>
        <w:spacing w:before="0" w:beforeAutospacing="0" w:after="0" w:afterAutospacing="0" w:line="360" w:lineRule="auto"/>
        <w:ind w:firstLine="420" w:firstLineChars="200"/>
        <w:jc w:val="both"/>
        <w:rPr>
          <w:rStyle w:val="56"/>
          <w:rFonts w:ascii="Times New Roman" w:hAnsi="Times New Roman" w:cs="Times New Roman"/>
          <w:color w:val="auto"/>
          <w:sz w:val="21"/>
          <w:szCs w:val="21"/>
          <w:highlight w:val="none"/>
          <w:u w:val="none"/>
          <w:shd w:val="clear" w:color="auto" w:fill="FFFFFF"/>
        </w:rPr>
      </w:pPr>
      <w:r>
        <w:rPr>
          <w:rStyle w:val="56"/>
          <w:rFonts w:hint="eastAsia" w:ascii="Times New Roman" w:hAnsi="Times New Roman" w:cs="Times New Roman"/>
          <w:color w:val="auto"/>
          <w:sz w:val="21"/>
          <w:szCs w:val="21"/>
          <w:highlight w:val="none"/>
          <w:u w:val="none"/>
          <w:shd w:val="clear" w:color="auto" w:fill="FFFFFF"/>
        </w:rPr>
        <w:t>供应商或者其他利害关系人认为本次采购活动违反相关法律法规或规范性文件规定的，可以在知道或者应当知道之日起10日内向长沙市轨道交通运营有限公司监察审计部门投诉。</w:t>
      </w:r>
    </w:p>
    <w:p>
      <w:pPr>
        <w:pStyle w:val="42"/>
        <w:numPr>
          <w:ilvl w:val="0"/>
          <w:numId w:val="6"/>
        </w:numPr>
        <w:shd w:val="clear" w:color="auto" w:fill="FFFFFF"/>
        <w:spacing w:before="0" w:beforeAutospacing="0" w:after="0" w:afterAutospacing="0" w:line="360" w:lineRule="auto"/>
        <w:ind w:firstLine="422"/>
        <w:jc w:val="both"/>
        <w:rPr>
          <w:rStyle w:val="56"/>
          <w:rFonts w:ascii="Times New Roman" w:hAnsi="Times New Roman" w:cs="Times New Roman"/>
          <w:b/>
          <w:bCs/>
          <w:color w:val="auto"/>
          <w:sz w:val="21"/>
          <w:highlight w:val="none"/>
          <w:u w:val="none"/>
          <w:shd w:val="clear" w:color="auto" w:fill="FFFFFF"/>
        </w:rPr>
      </w:pPr>
      <w:r>
        <w:rPr>
          <w:rStyle w:val="56"/>
          <w:rFonts w:ascii="Times New Roman" w:hAnsi="Times New Roman" w:cs="Times New Roman"/>
          <w:b/>
          <w:bCs/>
          <w:color w:val="auto"/>
          <w:sz w:val="21"/>
          <w:highlight w:val="none"/>
          <w:u w:val="none"/>
          <w:shd w:val="clear" w:color="auto" w:fill="FFFFFF"/>
        </w:rPr>
        <w:t>联系方式</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left="420" w:leftChars="200"/>
        <w:jc w:val="both"/>
        <w:textAlignment w:val="auto"/>
        <w:rPr>
          <w:rStyle w:val="56"/>
          <w:rFonts w:ascii="Times New Roman" w:hAnsi="Times New Roman" w:cs="Times New Roman"/>
          <w:color w:val="auto"/>
          <w:sz w:val="21"/>
          <w:highlight w:val="none"/>
          <w:u w:val="none"/>
          <w:shd w:val="clear" w:color="auto" w:fill="FFFFFF"/>
        </w:rPr>
      </w:pPr>
      <w:r>
        <w:rPr>
          <w:rStyle w:val="56"/>
          <w:rFonts w:ascii="Times New Roman" w:hAnsi="Times New Roman" w:cs="Times New Roman"/>
          <w:color w:val="auto"/>
          <w:sz w:val="21"/>
          <w:szCs w:val="21"/>
          <w:highlight w:val="none"/>
          <w:u w:val="none"/>
          <w:shd w:val="clear" w:color="auto" w:fill="FFFFFF"/>
        </w:rPr>
        <w:t>采购人：</w:t>
      </w:r>
      <w:r>
        <w:rPr>
          <w:color w:val="auto"/>
          <w:kern w:val="2"/>
          <w:sz w:val="21"/>
          <w:szCs w:val="21"/>
          <w:highlight w:val="none"/>
        </w:rPr>
        <w:t>长沙市轨道交通运营有限公司</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ascii="Times New Roman" w:hAnsi="Times New Roman" w:cs="Times New Roman"/>
          <w:color w:val="auto"/>
          <w:sz w:val="21"/>
          <w:szCs w:val="21"/>
          <w:highlight w:val="none"/>
          <w:u w:val="none"/>
          <w:shd w:val="clear" w:color="auto" w:fill="FFFFFF"/>
        </w:rPr>
      </w:pPr>
      <w:r>
        <w:rPr>
          <w:rStyle w:val="56"/>
          <w:rFonts w:ascii="Times New Roman" w:hAnsi="Times New Roman" w:cs="Times New Roman"/>
          <w:color w:val="auto"/>
          <w:sz w:val="21"/>
          <w:szCs w:val="21"/>
          <w:highlight w:val="none"/>
          <w:u w:val="none"/>
          <w:shd w:val="clear" w:color="auto" w:fill="FFFFFF"/>
        </w:rPr>
        <w:t>地</w:t>
      </w:r>
      <w:r>
        <w:rPr>
          <w:rStyle w:val="56"/>
          <w:rFonts w:hint="eastAsia" w:ascii="Times New Roman" w:hAnsi="Times New Roman" w:cs="Times New Roman"/>
          <w:color w:val="auto"/>
          <w:sz w:val="21"/>
          <w:szCs w:val="21"/>
          <w:highlight w:val="none"/>
          <w:u w:val="none"/>
          <w:shd w:val="clear" w:color="auto" w:fill="FFFFFF"/>
        </w:rPr>
        <w:t xml:space="preserve">  </w:t>
      </w:r>
      <w:r>
        <w:rPr>
          <w:rStyle w:val="56"/>
          <w:rFonts w:ascii="Times New Roman" w:hAnsi="Times New Roman" w:cs="Times New Roman"/>
          <w:color w:val="auto"/>
          <w:sz w:val="21"/>
          <w:szCs w:val="21"/>
          <w:highlight w:val="none"/>
          <w:u w:val="none"/>
          <w:shd w:val="clear" w:color="auto" w:fill="FFFFFF"/>
        </w:rPr>
        <w:t>址：</w:t>
      </w:r>
      <w:r>
        <w:rPr>
          <w:rStyle w:val="56"/>
          <w:rFonts w:hint="eastAsia" w:ascii="Times New Roman" w:hAnsi="Times New Roman" w:cs="Times New Roman"/>
          <w:color w:val="auto"/>
          <w:sz w:val="21"/>
          <w:szCs w:val="21"/>
          <w:highlight w:val="none"/>
          <w:u w:val="none"/>
          <w:shd w:val="clear" w:color="auto" w:fill="FFFFFF"/>
        </w:rPr>
        <w:t>湖南省</w:t>
      </w:r>
      <w:r>
        <w:rPr>
          <w:rStyle w:val="56"/>
          <w:rFonts w:ascii="Times New Roman" w:hAnsi="Times New Roman" w:cs="Times New Roman"/>
          <w:color w:val="auto"/>
          <w:sz w:val="21"/>
          <w:szCs w:val="21"/>
          <w:highlight w:val="none"/>
          <w:u w:val="none"/>
          <w:shd w:val="clear" w:color="auto" w:fill="FFFFFF"/>
        </w:rPr>
        <w:t>长沙市劳动东路二段48号黄兴车辆段</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hint="default" w:ascii="Times New Roman" w:hAnsi="Times New Roman" w:eastAsia="宋体" w:cs="Times New Roman"/>
          <w:color w:val="auto"/>
          <w:sz w:val="21"/>
          <w:highlight w:val="none"/>
          <w:u w:val="none"/>
          <w:shd w:val="clear" w:color="auto" w:fill="FFFFFF"/>
          <w:lang w:val="en-US" w:eastAsia="zh-CN"/>
        </w:rPr>
      </w:pPr>
      <w:r>
        <w:rPr>
          <w:rStyle w:val="56"/>
          <w:rFonts w:ascii="Times New Roman" w:hAnsi="Times New Roman" w:cs="Times New Roman"/>
          <w:color w:val="auto"/>
          <w:sz w:val="21"/>
          <w:szCs w:val="21"/>
          <w:highlight w:val="none"/>
          <w:u w:val="none"/>
          <w:shd w:val="clear" w:color="auto" w:fill="FFFFFF"/>
        </w:rPr>
        <w:t>联系人：</w:t>
      </w:r>
      <w:r>
        <w:rPr>
          <w:rFonts w:hint="eastAsia"/>
          <w:color w:val="auto"/>
          <w:kern w:val="2"/>
          <w:sz w:val="21"/>
          <w:szCs w:val="21"/>
          <w:highlight w:val="none"/>
          <w:lang w:val="en-US" w:eastAsia="zh-CN"/>
        </w:rPr>
        <w:t>杨工</w:t>
      </w:r>
    </w:p>
    <w:p>
      <w:pPr>
        <w:pStyle w:val="42"/>
        <w:keepNext w:val="0"/>
        <w:keepLines w:val="0"/>
        <w:pageBreakBefore w:val="0"/>
        <w:shd w:val="clear" w:color="auto" w:fill="FFFFFF"/>
        <w:kinsoku/>
        <w:wordWrap/>
        <w:overflowPunct/>
        <w:topLinePunct w:val="0"/>
        <w:autoSpaceDE/>
        <w:autoSpaceDN/>
        <w:bidi w:val="0"/>
        <w:spacing w:before="0" w:beforeAutospacing="0" w:after="0" w:afterAutospacing="0" w:line="360" w:lineRule="auto"/>
        <w:ind w:firstLine="420" w:firstLineChars="200"/>
        <w:jc w:val="both"/>
        <w:textAlignment w:val="auto"/>
        <w:rPr>
          <w:rStyle w:val="56"/>
          <w:rFonts w:hint="default" w:ascii="Times New Roman" w:hAnsi="Times New Roman" w:eastAsia="宋体" w:cs="Times New Roman"/>
          <w:color w:val="auto"/>
          <w:sz w:val="21"/>
          <w:highlight w:val="none"/>
          <w:u w:val="none"/>
          <w:shd w:val="clear" w:color="auto" w:fill="FFFFFF"/>
          <w:lang w:val="en-US" w:eastAsia="zh-CN"/>
        </w:rPr>
      </w:pPr>
      <w:r>
        <w:rPr>
          <w:rStyle w:val="56"/>
          <w:rFonts w:ascii="Times New Roman" w:hAnsi="Times New Roman" w:cs="Times New Roman"/>
          <w:color w:val="auto"/>
          <w:sz w:val="21"/>
          <w:szCs w:val="21"/>
          <w:highlight w:val="none"/>
          <w:u w:val="none"/>
          <w:shd w:val="clear" w:color="auto" w:fill="FFFFFF"/>
        </w:rPr>
        <w:t>电</w:t>
      </w:r>
      <w:r>
        <w:rPr>
          <w:rStyle w:val="56"/>
          <w:rFonts w:hint="eastAsia" w:ascii="Times New Roman" w:hAnsi="Times New Roman" w:cs="Times New Roman"/>
          <w:color w:val="auto"/>
          <w:sz w:val="21"/>
          <w:szCs w:val="21"/>
          <w:highlight w:val="none"/>
          <w:u w:val="none"/>
          <w:shd w:val="clear" w:color="auto" w:fill="FFFFFF"/>
        </w:rPr>
        <w:t xml:space="preserve">  </w:t>
      </w:r>
      <w:r>
        <w:rPr>
          <w:rStyle w:val="56"/>
          <w:rFonts w:ascii="Times New Roman" w:hAnsi="Times New Roman" w:cs="Times New Roman"/>
          <w:color w:val="auto"/>
          <w:sz w:val="21"/>
          <w:szCs w:val="21"/>
          <w:highlight w:val="none"/>
          <w:u w:val="none"/>
          <w:shd w:val="clear" w:color="auto" w:fill="FFFFFF"/>
        </w:rPr>
        <w:t>话：</w:t>
      </w:r>
      <w:r>
        <w:rPr>
          <w:color w:val="auto"/>
          <w:kern w:val="2"/>
          <w:sz w:val="21"/>
          <w:szCs w:val="21"/>
          <w:highlight w:val="none"/>
        </w:rPr>
        <w:t>0731-</w:t>
      </w:r>
      <w:r>
        <w:rPr>
          <w:rFonts w:hint="eastAsia"/>
          <w:color w:val="auto"/>
          <w:kern w:val="2"/>
          <w:sz w:val="21"/>
          <w:szCs w:val="21"/>
          <w:highlight w:val="none"/>
          <w:lang w:val="en-US" w:eastAsia="zh-CN"/>
        </w:rPr>
        <w:t>86852347</w:t>
      </w:r>
    </w:p>
    <w:p>
      <w:pPr>
        <w:pStyle w:val="26"/>
        <w:adjustRightInd w:val="0"/>
        <w:snapToGrid w:val="0"/>
        <w:spacing w:line="360" w:lineRule="auto"/>
        <w:jc w:val="right"/>
        <w:rPr>
          <w:rFonts w:hAnsi="宋体" w:cs="宋体"/>
          <w:color w:val="auto"/>
          <w:highlight w:val="none"/>
        </w:rPr>
      </w:pPr>
      <w:r>
        <w:rPr>
          <w:rFonts w:hint="eastAsia" w:hAnsi="宋体" w:cs="宋体"/>
          <w:color w:val="auto"/>
          <w:highlight w:val="none"/>
        </w:rPr>
        <w:t>202</w:t>
      </w:r>
      <w:r>
        <w:rPr>
          <w:rFonts w:hint="eastAsia" w:hAnsi="宋体" w:cs="宋体"/>
          <w:color w:val="auto"/>
          <w:highlight w:val="none"/>
          <w:lang w:val="en-US" w:eastAsia="zh-CN"/>
        </w:rPr>
        <w:t>3</w:t>
      </w:r>
      <w:r>
        <w:rPr>
          <w:rFonts w:hint="eastAsia" w:hAnsi="宋体" w:cs="宋体"/>
          <w:color w:val="auto"/>
          <w:highlight w:val="none"/>
        </w:rPr>
        <w:t>年</w:t>
      </w:r>
      <w:r>
        <w:rPr>
          <w:rFonts w:hint="eastAsia" w:hAnsi="宋体" w:cs="宋体"/>
          <w:color w:val="auto"/>
          <w:highlight w:val="none"/>
          <w:lang w:val="en-US" w:eastAsia="zh-CN"/>
        </w:rPr>
        <w:t>04</w:t>
      </w:r>
      <w:r>
        <w:rPr>
          <w:rFonts w:hint="eastAsia" w:hAnsi="宋体" w:cs="宋体"/>
          <w:color w:val="auto"/>
          <w:highlight w:val="none"/>
        </w:rPr>
        <w:t>月</w:t>
      </w:r>
      <w:r>
        <w:rPr>
          <w:rFonts w:hint="eastAsia" w:hAnsi="宋体" w:cs="宋体"/>
          <w:color w:val="auto"/>
          <w:highlight w:val="none"/>
          <w:lang w:val="en-US" w:eastAsia="zh-CN"/>
        </w:rPr>
        <w:t>03</w:t>
      </w:r>
      <w:r>
        <w:rPr>
          <w:rFonts w:hint="eastAsia" w:hAnsi="宋体" w:cs="宋体"/>
          <w:color w:val="auto"/>
          <w:highlight w:val="none"/>
        </w:rPr>
        <w:t>日</w:t>
      </w:r>
    </w:p>
    <w:p>
      <w:pPr>
        <w:rPr>
          <w:rFonts w:ascii="宋体" w:hAnsi="宋体" w:cs="宋体"/>
          <w:color w:val="auto"/>
          <w:highlight w:val="none"/>
        </w:rPr>
        <w:sectPr>
          <w:footerReference r:id="rId6" w:type="default"/>
          <w:pgSz w:w="11906" w:h="16838"/>
          <w:pgMar w:top="1440" w:right="1474" w:bottom="1440" w:left="1531" w:header="851" w:footer="851" w:gutter="0"/>
          <w:pgNumType w:fmt="decimal"/>
          <w:cols w:space="0" w:num="1"/>
          <w:docGrid w:linePitch="312" w:charSpace="0"/>
        </w:sectPr>
      </w:pPr>
    </w:p>
    <w:p>
      <w:pPr>
        <w:rPr>
          <w:rFonts w:ascii="宋体" w:hAnsi="宋体" w:cs="宋体"/>
          <w:color w:val="auto"/>
          <w:highlight w:val="none"/>
        </w:rPr>
      </w:pPr>
      <w:r>
        <w:rPr>
          <w:rFonts w:hint="eastAsia" w:ascii="宋体" w:hAnsi="宋体" w:cs="宋体"/>
          <w:color w:val="auto"/>
          <w:highlight w:val="none"/>
        </w:rPr>
        <w:t>附表：</w:t>
      </w:r>
    </w:p>
    <w:p>
      <w:pPr>
        <w:pStyle w:val="42"/>
        <w:spacing w:line="450" w:lineRule="atLeast"/>
        <w:jc w:val="center"/>
        <w:rPr>
          <w:b/>
          <w:bCs/>
          <w:color w:val="auto"/>
          <w:highlight w:val="none"/>
        </w:rPr>
      </w:pPr>
      <w:bookmarkStart w:id="6" w:name="_Hlk70062588"/>
      <w:bookmarkStart w:id="7" w:name="_Hlk73016970"/>
      <w:r>
        <w:rPr>
          <w:rFonts w:hint="eastAsia"/>
          <w:b/>
          <w:bCs/>
          <w:color w:val="auto"/>
          <w:highlight w:val="none"/>
        </w:rPr>
        <w:t>关键岗位人员最低配备要求表</w:t>
      </w:r>
    </w:p>
    <w:bookmarkEnd w:id="6"/>
    <w:tbl>
      <w:tblPr>
        <w:tblStyle w:val="47"/>
        <w:tblW w:w="936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14"/>
        <w:gridCol w:w="63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9" w:hRule="atLeast"/>
          <w:jc w:val="center"/>
        </w:trPr>
        <w:tc>
          <w:tcPr>
            <w:tcW w:w="3014" w:type="dxa"/>
            <w:vAlign w:val="center"/>
          </w:tcPr>
          <w:p>
            <w:pPr>
              <w:pStyle w:val="42"/>
              <w:spacing w:before="0" w:beforeAutospacing="0" w:after="0" w:afterAutospacing="0" w:line="400" w:lineRule="exact"/>
              <w:jc w:val="center"/>
              <w:rPr>
                <w:color w:val="auto"/>
                <w:sz w:val="21"/>
                <w:szCs w:val="21"/>
                <w:highlight w:val="none"/>
              </w:rPr>
            </w:pPr>
            <w:bookmarkStart w:id="8" w:name="_Hlk70062579"/>
            <w:r>
              <w:rPr>
                <w:rFonts w:hint="eastAsia"/>
                <w:color w:val="auto"/>
                <w:sz w:val="21"/>
                <w:szCs w:val="21"/>
                <w:highlight w:val="none"/>
              </w:rPr>
              <w:t>关键岗位人员最低配备要求</w:t>
            </w:r>
          </w:p>
        </w:tc>
        <w:tc>
          <w:tcPr>
            <w:tcW w:w="6346" w:type="dxa"/>
            <w:vAlign w:val="center"/>
          </w:tcPr>
          <w:p>
            <w:pPr>
              <w:pStyle w:val="42"/>
              <w:spacing w:before="0" w:beforeAutospacing="0" w:after="0" w:afterAutospacing="0" w:line="400" w:lineRule="exact"/>
              <w:jc w:val="center"/>
              <w:rPr>
                <w:color w:val="auto"/>
                <w:sz w:val="21"/>
                <w:szCs w:val="21"/>
                <w:highlight w:val="none"/>
              </w:rPr>
            </w:pPr>
            <w:r>
              <w:rPr>
                <w:rFonts w:hint="eastAsia"/>
                <w:color w:val="auto"/>
                <w:sz w:val="21"/>
                <w:szCs w:val="21"/>
                <w:highlight w:val="none"/>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7" w:hRule="atLeast"/>
          <w:jc w:val="center"/>
        </w:trPr>
        <w:tc>
          <w:tcPr>
            <w:tcW w:w="3014" w:type="dxa"/>
            <w:vAlign w:val="center"/>
          </w:tcPr>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现场施工部关键岗位人员按湘建建【2020】208号文最低配备如下：</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项目负责人1人、项目技术负责人1人、施工员1人、专职安全员1人</w:t>
            </w:r>
          </w:p>
        </w:tc>
        <w:tc>
          <w:tcPr>
            <w:tcW w:w="6346" w:type="dxa"/>
            <w:vAlign w:val="center"/>
          </w:tcPr>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1.拟任项目负责人具备建筑工程专业二级及以上注册建造师执业资格和项目负责人安全生产考核合格证。</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2.拟任技术负责人具备建筑工程相关专业中级及以上职称。</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3.拟任施工员具备施工员岗位资格证书。</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4.拟任专职安全员具备专职安全生产管理人员安全生产考核合格证。</w:t>
            </w:r>
          </w:p>
          <w:p>
            <w:pPr>
              <w:pStyle w:val="42"/>
              <w:spacing w:before="0" w:beforeAutospacing="0" w:after="0" w:afterAutospacing="0" w:line="360" w:lineRule="auto"/>
              <w:rPr>
                <w:color w:val="auto"/>
                <w:sz w:val="21"/>
                <w:szCs w:val="21"/>
                <w:highlight w:val="none"/>
              </w:rPr>
            </w:pPr>
            <w:r>
              <w:rPr>
                <w:rFonts w:hint="eastAsia"/>
                <w:color w:val="auto"/>
                <w:sz w:val="21"/>
                <w:szCs w:val="21"/>
                <w:highlight w:val="none"/>
              </w:rPr>
              <w:t>注：岗位资格证书注明了单位名称的，应与本人执业单位一致。</w:t>
            </w:r>
          </w:p>
        </w:tc>
      </w:tr>
    </w:tbl>
    <w:p>
      <w:pPr>
        <w:widowControl/>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备</w:t>
      </w:r>
      <w:r>
        <w:rPr>
          <w:rFonts w:hint="eastAsia" w:ascii="宋体" w:hAnsi="宋体" w:cs="宋体"/>
          <w:b/>
          <w:bCs/>
          <w:color w:val="auto"/>
          <w:szCs w:val="21"/>
          <w:highlight w:val="none"/>
        </w:rPr>
        <w:t>注：</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szCs w:val="21"/>
          <w:highlight w:val="none"/>
        </w:rPr>
      </w:pPr>
      <w:r>
        <w:rPr>
          <w:rFonts w:hint="eastAsia" w:ascii="宋体" w:hAnsi="宋体" w:cs="宋体"/>
          <w:szCs w:val="21"/>
          <w:highlight w:val="none"/>
          <w:lang w:val="en-US" w:eastAsia="zh-CN"/>
        </w:rPr>
        <w:t>在项目实施过程中，现场施工部关键岗位人员配备应按《湖南省建设工程施工项目部和现场监理部关键岗位人员配备管理办法》（湘建建【2020】208号文）的规定执行,</w:t>
      </w:r>
      <w:r>
        <w:rPr>
          <w:rFonts w:hint="eastAsia" w:ascii="宋体" w:hAnsi="宋体" w:cs="宋体"/>
          <w:b/>
          <w:bCs/>
          <w:szCs w:val="21"/>
          <w:highlight w:val="none"/>
          <w:lang w:val="en-US" w:eastAsia="zh-CN"/>
        </w:rPr>
        <w:t>且不能在长沙市轨道交通运营有限公司的其他项目担任关键岗位。</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cs="宋体"/>
          <w:szCs w:val="21"/>
          <w:highlight w:val="none"/>
        </w:rPr>
      </w:pPr>
      <w:r>
        <w:rPr>
          <w:rFonts w:hint="eastAsia" w:ascii="宋体" w:hAnsi="宋体" w:cs="宋体"/>
          <w:szCs w:val="21"/>
          <w:highlight w:val="none"/>
        </w:rPr>
        <w:t>施工员可由技术负责人兼任。</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cs="宋体"/>
          <w:szCs w:val="21"/>
          <w:highlight w:val="none"/>
        </w:rPr>
      </w:pPr>
      <w:r>
        <w:rPr>
          <w:rFonts w:hint="eastAsia" w:ascii="宋体" w:hAnsi="宋体" w:cs="宋体"/>
          <w:szCs w:val="21"/>
          <w:highlight w:val="none"/>
        </w:rPr>
        <w:t>须同时具有负责土建和机械安全管理的专职安全员；当专职安全员为1人时，须为综合类；负责建筑起重机械设备安全管理的专职安全员应为机械类或综合类。</w:t>
      </w:r>
    </w:p>
    <w:p>
      <w:pPr>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s="宋体"/>
          <w:color w:val="auto"/>
          <w:szCs w:val="21"/>
          <w:highlight w:val="none"/>
        </w:rPr>
      </w:pPr>
      <w:r>
        <w:rPr>
          <w:rFonts w:hint="eastAsia" w:ascii="宋体" w:hAnsi="宋体" w:cs="宋体"/>
          <w:szCs w:val="21"/>
          <w:highlight w:val="none"/>
        </w:rPr>
        <w:t>建筑面积小于5000平方米的工程，质量员可由技术负责人兼任。</w:t>
      </w:r>
    </w:p>
    <w:bookmarkEnd w:id="7"/>
    <w:bookmarkEnd w:id="8"/>
    <w:p>
      <w:pPr>
        <w:pStyle w:val="3"/>
        <w:keepNext w:val="0"/>
        <w:spacing w:after="240"/>
        <w:rPr>
          <w:rFonts w:ascii="宋体" w:hAnsi="宋体" w:cs="宋体"/>
          <w:bCs w:val="0"/>
          <w:color w:val="auto"/>
          <w:sz w:val="32"/>
          <w:szCs w:val="32"/>
          <w:highlight w:val="none"/>
        </w:rPr>
      </w:pPr>
      <w:r>
        <w:rPr>
          <w:rFonts w:hint="eastAsia" w:ascii="宋体" w:hAnsi="宋体" w:cs="宋体"/>
          <w:b w:val="0"/>
          <w:bCs w:val="0"/>
          <w:color w:val="auto"/>
          <w:sz w:val="32"/>
          <w:szCs w:val="32"/>
          <w:highlight w:val="none"/>
        </w:rPr>
        <w:br w:type="page"/>
      </w:r>
      <w:bookmarkStart w:id="9" w:name="_Toc6753"/>
      <w:bookmarkStart w:id="10" w:name="_Toc22049"/>
      <w:bookmarkStart w:id="11" w:name="_Toc8914"/>
      <w:bookmarkStart w:id="12" w:name="_Toc5145"/>
      <w:bookmarkStart w:id="13" w:name="_Toc14891065"/>
      <w:bookmarkStart w:id="14" w:name="_Toc27677"/>
      <w:r>
        <w:rPr>
          <w:rFonts w:hint="eastAsia" w:ascii="宋体" w:hAnsi="宋体" w:cs="宋体"/>
          <w:bCs w:val="0"/>
          <w:color w:val="auto"/>
          <w:sz w:val="32"/>
          <w:szCs w:val="32"/>
          <w:highlight w:val="none"/>
        </w:rPr>
        <w:t>第二章  谈判须知</w:t>
      </w:r>
      <w:bookmarkEnd w:id="9"/>
      <w:bookmarkEnd w:id="10"/>
      <w:bookmarkEnd w:id="11"/>
      <w:bookmarkEnd w:id="12"/>
      <w:bookmarkEnd w:id="13"/>
      <w:bookmarkEnd w:id="14"/>
    </w:p>
    <w:p>
      <w:pPr>
        <w:pStyle w:val="4"/>
        <w:keepNext w:val="0"/>
        <w:keepLines w:val="0"/>
        <w:jc w:val="center"/>
        <w:rPr>
          <w:rFonts w:ascii="宋体" w:hAnsi="宋体" w:cs="宋体"/>
          <w:color w:val="auto"/>
          <w:sz w:val="21"/>
          <w:szCs w:val="21"/>
          <w:highlight w:val="none"/>
        </w:rPr>
      </w:pPr>
      <w:bookmarkStart w:id="15" w:name="_Toc14891066"/>
      <w:bookmarkStart w:id="16" w:name="_Toc5430"/>
      <w:bookmarkStart w:id="17" w:name="_Toc22392"/>
      <w:bookmarkStart w:id="18" w:name="_Toc6617"/>
      <w:bookmarkStart w:id="19" w:name="_Toc10697"/>
      <w:bookmarkStart w:id="20" w:name="_Toc9591"/>
      <w:r>
        <w:rPr>
          <w:rFonts w:hint="eastAsia" w:ascii="宋体" w:hAnsi="宋体" w:cs="宋体"/>
          <w:color w:val="auto"/>
          <w:sz w:val="32"/>
          <w:highlight w:val="none"/>
        </w:rPr>
        <w:t>谈判须知前附表</w:t>
      </w:r>
      <w:bookmarkEnd w:id="15"/>
      <w:bookmarkEnd w:id="16"/>
      <w:bookmarkEnd w:id="17"/>
      <w:bookmarkEnd w:id="18"/>
      <w:bookmarkEnd w:id="19"/>
      <w:bookmarkEnd w:id="20"/>
    </w:p>
    <w:tbl>
      <w:tblPr>
        <w:tblStyle w:val="47"/>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19"/>
        <w:gridCol w:w="75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tblHeader/>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名  称</w:t>
            </w:r>
          </w:p>
        </w:tc>
        <w:tc>
          <w:tcPr>
            <w:tcW w:w="7533"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采购项目</w:t>
            </w:r>
          </w:p>
        </w:tc>
        <w:tc>
          <w:tcPr>
            <w:tcW w:w="7533" w:type="dxa"/>
            <w:vAlign w:val="center"/>
          </w:tcPr>
          <w:p>
            <w:pPr>
              <w:adjustRightInd w:val="0"/>
              <w:snapToGrid w:val="0"/>
              <w:jc w:val="center"/>
              <w:rPr>
                <w:rFonts w:hint="eastAsia" w:ascii="宋体" w:hAnsi="宋体" w:eastAsia="宋体" w:cs="宋体"/>
                <w:color w:val="auto"/>
                <w:szCs w:val="21"/>
                <w:highlight w:val="none"/>
                <w:lang w:eastAsia="zh-CN"/>
              </w:rPr>
            </w:pPr>
            <w:r>
              <w:rPr>
                <w:rFonts w:hint="eastAsia" w:ascii="Times New Roman" w:hAnsi="Times New Roman" w:eastAsia="宋体" w:cs="Times New Roman"/>
                <w:color w:val="000000"/>
                <w:kern w:val="2"/>
                <w:sz w:val="21"/>
                <w:szCs w:val="21"/>
                <w:highlight w:val="none"/>
                <w:lang w:val="en-US" w:eastAsia="zh-CN" w:bidi="ar-SA"/>
              </w:rPr>
              <w:t>长沙市轨道交通2号线一期工程运营期车站出入口硅纤板改造工程项目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采购单位</w:t>
            </w:r>
          </w:p>
        </w:tc>
        <w:tc>
          <w:tcPr>
            <w:tcW w:w="7533" w:type="dxa"/>
            <w:vAlign w:val="center"/>
          </w:tcPr>
          <w:p>
            <w:pPr>
              <w:adjustRightInd w:val="0"/>
              <w:snapToGrid w:val="0"/>
              <w:jc w:val="center"/>
              <w:rPr>
                <w:rFonts w:ascii="宋体" w:hAnsi="宋体" w:cs="宋体"/>
                <w:iCs/>
                <w:color w:val="auto"/>
                <w:szCs w:val="21"/>
                <w:highlight w:val="none"/>
              </w:rPr>
            </w:pPr>
            <w:r>
              <w:rPr>
                <w:rFonts w:hint="eastAsia" w:ascii="宋体" w:hAnsi="宋体" w:cs="宋体"/>
                <w:iCs/>
                <w:color w:val="auto"/>
                <w:szCs w:val="21"/>
                <w:highlight w:val="none"/>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最高限价</w:t>
            </w:r>
          </w:p>
        </w:tc>
        <w:tc>
          <w:tcPr>
            <w:tcW w:w="7533" w:type="dxa"/>
            <w:vAlign w:val="center"/>
          </w:tcPr>
          <w:p>
            <w:pPr>
              <w:adjustRightInd w:val="0"/>
              <w:snapToGrid w:val="0"/>
              <w:jc w:val="left"/>
              <w:rPr>
                <w:rFonts w:ascii="宋体" w:hAnsi="宋体" w:cs="宋体"/>
                <w:iCs/>
                <w:color w:val="auto"/>
                <w:szCs w:val="21"/>
                <w:highlight w:val="none"/>
              </w:rPr>
            </w:pPr>
            <w:r>
              <w:rPr>
                <w:rFonts w:hint="eastAsia" w:ascii="宋体" w:hAnsi="宋体" w:cs="宋体"/>
                <w:color w:val="auto"/>
                <w:szCs w:val="21"/>
                <w:highlight w:val="none"/>
              </w:rPr>
              <w:t>787611.78</w:t>
            </w:r>
            <w:r>
              <w:rPr>
                <w:rFonts w:hint="eastAsia" w:ascii="宋体" w:hAnsi="宋体" w:cs="宋体"/>
                <w:bCs/>
                <w:color w:val="auto"/>
                <w:szCs w:val="21"/>
                <w:highlight w:val="none"/>
              </w:rPr>
              <w:t>元</w:t>
            </w:r>
            <w:r>
              <w:rPr>
                <w:rFonts w:hint="eastAsia" w:ascii="宋体" w:hAnsi="宋体" w:cs="宋体"/>
                <w:color w:val="auto"/>
                <w:szCs w:val="21"/>
                <w:highlight w:val="none"/>
              </w:rPr>
              <w:t>，不超过最高限价的谈判总报价为有效报价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评审办法</w:t>
            </w:r>
          </w:p>
        </w:tc>
        <w:tc>
          <w:tcPr>
            <w:tcW w:w="7533" w:type="dxa"/>
            <w:vAlign w:val="center"/>
          </w:tcPr>
          <w:p>
            <w:pPr>
              <w:adjustRightInd w:val="0"/>
              <w:snapToGrid w:val="0"/>
              <w:jc w:val="left"/>
              <w:rPr>
                <w:rFonts w:hint="eastAsia" w:ascii="宋体" w:hAnsi="宋体" w:eastAsia="宋体" w:cs="宋体"/>
                <w:iCs/>
                <w:color w:val="auto"/>
                <w:szCs w:val="21"/>
                <w:highlight w:val="none"/>
                <w:lang w:eastAsia="zh-CN"/>
              </w:rPr>
            </w:pPr>
            <w:r>
              <w:rPr>
                <w:rStyle w:val="56"/>
                <w:rFonts w:hint="eastAsia"/>
                <w:color w:val="auto"/>
                <w:kern w:val="0"/>
                <w:highlight w:val="none"/>
                <w:u w:val="none"/>
                <w:shd w:val="clear" w:color="auto" w:fill="FFFFFF"/>
              </w:rPr>
              <w:sym w:font="Wingdings" w:char="00A8"/>
            </w:r>
            <w:r>
              <w:rPr>
                <w:rStyle w:val="56"/>
                <w:rFonts w:hint="eastAsia"/>
                <w:color w:val="auto"/>
                <w:kern w:val="0"/>
                <w:highlight w:val="none"/>
                <w:u w:val="none"/>
                <w:shd w:val="clear" w:color="auto" w:fill="FFFFFF"/>
              </w:rPr>
              <w:t xml:space="preserve">经符合性审查合格后的最低价法  </w:t>
            </w:r>
            <w:r>
              <w:rPr>
                <w:rStyle w:val="56"/>
                <w:rFonts w:hint="eastAsia"/>
                <w:color w:val="auto"/>
                <w:kern w:val="0"/>
                <w:highlight w:val="none"/>
                <w:u w:val="none"/>
                <w:shd w:val="clear" w:color="auto" w:fill="FFFFFF"/>
              </w:rPr>
              <w:sym w:font="Wingdings" w:char="00FE"/>
            </w:r>
            <w:r>
              <w:rPr>
                <w:rStyle w:val="56"/>
                <w:rFonts w:hint="eastAsia"/>
                <w:color w:val="auto"/>
                <w:kern w:val="0"/>
                <w:highlight w:val="none"/>
                <w:u w:val="none"/>
                <w:shd w:val="clear" w:color="auto" w:fill="FFFFFF"/>
                <w:lang w:eastAsia="zh-CN"/>
              </w:rPr>
              <w:t>综合评</w:t>
            </w:r>
            <w:r>
              <w:rPr>
                <w:rStyle w:val="56"/>
                <w:rFonts w:hint="eastAsia"/>
                <w:color w:val="auto"/>
                <w:kern w:val="0"/>
                <w:highlight w:val="none"/>
                <w:u w:val="none"/>
                <w:shd w:val="clear" w:color="auto" w:fill="FFFFFF"/>
                <w:lang w:val="en-US" w:eastAsia="zh-CN"/>
              </w:rPr>
              <w:t>估</w:t>
            </w:r>
            <w:r>
              <w:rPr>
                <w:rStyle w:val="56"/>
                <w:rFonts w:hint="eastAsia"/>
                <w:color w:val="auto"/>
                <w:kern w:val="0"/>
                <w:highlight w:val="none"/>
                <w:u w:val="none"/>
                <w:shd w:val="clear" w:color="auto" w:fill="FFFFFF"/>
                <w:lang w:eastAsia="zh-CN"/>
              </w:rPr>
              <w:t>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2" w:hRule="atLeast"/>
          <w:jc w:val="center"/>
        </w:trPr>
        <w:tc>
          <w:tcPr>
            <w:tcW w:w="2119" w:type="dxa"/>
            <w:vAlign w:val="center"/>
          </w:tcPr>
          <w:p>
            <w:pPr>
              <w:adjustRightInd w:val="0"/>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资格要求</w:t>
            </w:r>
          </w:p>
        </w:tc>
        <w:tc>
          <w:tcPr>
            <w:tcW w:w="7533" w:type="dxa"/>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kern w:val="2"/>
                <w:sz w:val="21"/>
                <w:szCs w:val="21"/>
                <w:highlight w:val="none"/>
                <w:lang w:val="en-US" w:eastAsia="zh-CN" w:bidi="ar-SA"/>
              </w:rPr>
              <w:t>1.</w:t>
            </w:r>
            <w:r>
              <w:rPr>
                <w:rFonts w:hint="eastAsia" w:ascii="Times New Roman" w:hAnsi="Times New Roman" w:eastAsia="宋体" w:cs="Times New Roman"/>
                <w:color w:val="000000"/>
                <w:kern w:val="2"/>
                <w:sz w:val="21"/>
                <w:szCs w:val="21"/>
                <w:highlight w:val="none"/>
                <w:lang w:val="en-US" w:eastAsia="zh-CN" w:bidi="ar-SA"/>
              </w:rPr>
              <w:t>谈判单位须为具有独立法人资格、自主经营、独立核算的公司/单位，须提供加盖谈判单位公章的营业执照复印件。</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kern w:val="2"/>
                <w:sz w:val="21"/>
                <w:szCs w:val="21"/>
                <w:highlight w:val="none"/>
                <w:lang w:val="en-US" w:eastAsia="zh-CN" w:bidi="ar-SA"/>
              </w:rPr>
              <w:t>2.</w:t>
            </w:r>
            <w:r>
              <w:rPr>
                <w:rFonts w:hint="eastAsia" w:ascii="Times New Roman" w:hAnsi="Times New Roman" w:eastAsia="宋体" w:cs="Times New Roman"/>
                <w:color w:val="000000"/>
                <w:kern w:val="2"/>
                <w:sz w:val="21"/>
                <w:szCs w:val="21"/>
                <w:highlight w:val="none"/>
                <w:lang w:val="en-US" w:eastAsia="zh-CN" w:bidi="ar-SA"/>
              </w:rPr>
              <w:t>谈判单位须具有</w:t>
            </w:r>
            <w:r>
              <w:rPr>
                <w:rFonts w:hint="eastAsia" w:cs="Times New Roman"/>
                <w:color w:val="000000"/>
                <w:kern w:val="2"/>
                <w:sz w:val="21"/>
                <w:szCs w:val="21"/>
                <w:highlight w:val="none"/>
                <w:lang w:val="en-US" w:eastAsia="zh-CN" w:bidi="ar-SA"/>
              </w:rPr>
              <w:t>建筑工程施工总承包三级（含）以上或</w:t>
            </w:r>
            <w:r>
              <w:rPr>
                <w:rFonts w:hint="eastAsia" w:ascii="Times New Roman" w:hAnsi="Times New Roman" w:eastAsia="宋体" w:cs="Times New Roman"/>
                <w:color w:val="000000"/>
                <w:kern w:val="2"/>
                <w:sz w:val="21"/>
                <w:szCs w:val="21"/>
                <w:highlight w:val="none"/>
                <w:lang w:val="en-US" w:eastAsia="zh-CN" w:bidi="ar-SA"/>
              </w:rPr>
              <w:t>建筑装修装饰工程专业承包二级（含）以上资质，须具有有效的施工企业《安全生产许可证》。</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kern w:val="2"/>
                <w:sz w:val="21"/>
                <w:szCs w:val="21"/>
                <w:highlight w:val="none"/>
                <w:lang w:val="en-US" w:eastAsia="zh-CN" w:bidi="ar-SA"/>
              </w:rPr>
              <w:t>3.</w:t>
            </w:r>
            <w:r>
              <w:rPr>
                <w:rFonts w:hint="eastAsia" w:ascii="Times New Roman" w:hAnsi="Times New Roman" w:eastAsia="宋体" w:cs="Times New Roman"/>
                <w:color w:val="000000"/>
                <w:kern w:val="2"/>
                <w:sz w:val="21"/>
                <w:szCs w:val="21"/>
                <w:highlight w:val="none"/>
                <w:lang w:val="en-US" w:eastAsia="zh-CN" w:bidi="ar-SA"/>
              </w:rPr>
              <w:t>本项目现场施工部关键岗位人员最低配备按《湖南省建设工程施工项目部和现场监理部关键岗位人员配备管理办法》湘建建【2020】208号文执行。详见附表《关键岗位人员最低配备要求表》。</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kern w:val="2"/>
                <w:sz w:val="21"/>
                <w:szCs w:val="21"/>
                <w:highlight w:val="none"/>
                <w:lang w:val="en-US" w:eastAsia="zh-CN" w:bidi="ar-SA"/>
              </w:rPr>
              <w:t>4.</w:t>
            </w:r>
            <w:r>
              <w:rPr>
                <w:rFonts w:hint="eastAsia" w:ascii="Times New Roman" w:hAnsi="Times New Roman" w:eastAsia="宋体" w:cs="Times New Roman"/>
                <w:color w:val="000000"/>
                <w:kern w:val="2"/>
                <w:sz w:val="21"/>
                <w:szCs w:val="21"/>
                <w:highlight w:val="none"/>
                <w:lang w:val="en-US" w:eastAsia="zh-CN" w:bidi="ar-SA"/>
              </w:rPr>
              <w:t>湖南省外企业须按照湘建建【2015】190号文件要求办理省外入湘企业基本情况登记（以“湖南省住房和城乡建设网”查询为准）或具有入湘施工登记证（处于有效期内）。</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cs="Times New Roman"/>
                <w:color w:val="000000"/>
                <w:kern w:val="2"/>
                <w:sz w:val="21"/>
                <w:szCs w:val="21"/>
                <w:highlight w:val="none"/>
                <w:lang w:val="en-US" w:eastAsia="zh-CN" w:bidi="ar-SA"/>
              </w:rPr>
              <w:t>5.</w:t>
            </w:r>
            <w:r>
              <w:rPr>
                <w:rFonts w:hint="eastAsia" w:ascii="Times New Roman" w:hAnsi="Times New Roman" w:eastAsia="宋体" w:cs="Times New Roman"/>
                <w:color w:val="000000"/>
                <w:kern w:val="2"/>
                <w:sz w:val="21"/>
                <w:szCs w:val="21"/>
                <w:highlight w:val="none"/>
                <w:lang w:val="en-US" w:eastAsia="zh-CN" w:bidi="ar-SA"/>
              </w:rPr>
              <w:t>本次采购不接受联合体。</w:t>
            </w:r>
          </w:p>
          <w:p>
            <w:pPr>
              <w:numPr>
                <w:ilvl w:val="0"/>
                <w:numId w:val="0"/>
              </w:numPr>
              <w:spacing w:line="360" w:lineRule="auto"/>
              <w:ind w:leftChars="0"/>
              <w:rPr>
                <w:rFonts w:ascii="宋体" w:hAnsi="宋体" w:cs="宋体"/>
                <w:iCs/>
                <w:color w:val="auto"/>
                <w:szCs w:val="21"/>
                <w:highlight w:val="none"/>
              </w:rPr>
            </w:pPr>
            <w:r>
              <w:rPr>
                <w:rFonts w:hint="eastAsia" w:ascii="Times New Roman" w:hAnsi="Times New Roman" w:cs="Times New Roman"/>
                <w:color w:val="000000"/>
                <w:kern w:val="2"/>
                <w:sz w:val="21"/>
                <w:szCs w:val="21"/>
                <w:highlight w:val="none"/>
                <w:lang w:val="en-US" w:eastAsia="zh-CN" w:bidi="ar-SA"/>
              </w:rPr>
              <w:t>6.</w:t>
            </w:r>
            <w:r>
              <w:rPr>
                <w:rFonts w:hint="eastAsia" w:ascii="Times New Roman" w:hAnsi="Times New Roman" w:eastAsia="宋体" w:cs="Times New Roman"/>
                <w:color w:val="000000"/>
                <w:kern w:val="2"/>
                <w:sz w:val="21"/>
                <w:szCs w:val="21"/>
                <w:highlight w:val="none"/>
                <w:lang w:val="en-US" w:eastAsia="zh-CN" w:bidi="ar-SA"/>
              </w:rPr>
              <w:t>被长沙市轨道交通集团有限公司或长沙市轨道交通运营有限公司函告禁止在一定期限内参与投标的单位按函告内容执行。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递交截止时间</w:t>
            </w:r>
          </w:p>
        </w:tc>
        <w:tc>
          <w:tcPr>
            <w:tcW w:w="7533" w:type="dxa"/>
            <w:vAlign w:val="center"/>
          </w:tcPr>
          <w:p>
            <w:pPr>
              <w:pStyle w:val="26"/>
              <w:adjustRightInd w:val="0"/>
              <w:snapToGrid w:val="0"/>
              <w:rPr>
                <w:rFonts w:hAnsi="宋体" w:cs="宋体"/>
                <w:color w:val="auto"/>
                <w:highlight w:val="none"/>
              </w:rPr>
            </w:pPr>
            <w:r>
              <w:rPr>
                <w:rFonts w:hint="eastAsia" w:hAnsi="宋体" w:cs="宋体"/>
                <w:color w:val="auto"/>
                <w:highlight w:val="none"/>
              </w:rPr>
              <w:t>20</w:t>
            </w:r>
            <w:r>
              <w:rPr>
                <w:rFonts w:hint="eastAsia" w:hAnsi="宋体" w:cs="宋体"/>
                <w:color w:val="auto"/>
                <w:highlight w:val="none"/>
                <w:lang w:val="en-US" w:eastAsia="zh-CN"/>
              </w:rPr>
              <w:t>23</w:t>
            </w:r>
            <w:r>
              <w:rPr>
                <w:rFonts w:hint="eastAsia" w:hAnsi="宋体" w:cs="宋体"/>
                <w:color w:val="auto"/>
                <w:highlight w:val="none"/>
              </w:rPr>
              <w:t>年</w:t>
            </w:r>
            <w:r>
              <w:rPr>
                <w:rFonts w:hint="eastAsia" w:hAnsi="宋体" w:cs="宋体"/>
                <w:color w:val="auto"/>
                <w:highlight w:val="none"/>
                <w:lang w:val="en-US" w:eastAsia="zh-CN"/>
              </w:rPr>
              <w:t>04</w:t>
            </w:r>
            <w:r>
              <w:rPr>
                <w:rFonts w:hint="eastAsia" w:hAnsi="宋体" w:cs="宋体"/>
                <w:color w:val="auto"/>
                <w:highlight w:val="none"/>
              </w:rPr>
              <w:t>月</w:t>
            </w:r>
            <w:r>
              <w:rPr>
                <w:rFonts w:hint="eastAsia" w:hAnsi="宋体" w:cs="宋体"/>
                <w:color w:val="auto"/>
                <w:highlight w:val="none"/>
                <w:lang w:val="en-US" w:eastAsia="zh-CN"/>
              </w:rPr>
              <w:t>12</w:t>
            </w:r>
            <w:r>
              <w:rPr>
                <w:rFonts w:hint="eastAsia" w:hAnsi="宋体" w:cs="宋体"/>
                <w:color w:val="auto"/>
                <w:highlight w:val="none"/>
              </w:rPr>
              <w:t>日</w:t>
            </w:r>
            <w:r>
              <w:rPr>
                <w:rFonts w:hint="eastAsia" w:hAnsi="宋体" w:cs="宋体"/>
                <w:color w:val="auto"/>
                <w:highlight w:val="none"/>
              </w:rPr>
              <w:t>17时00分(北京时间)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谈判答疑文件</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递交方式及地点</w:t>
            </w:r>
          </w:p>
        </w:tc>
        <w:tc>
          <w:tcPr>
            <w:tcW w:w="7533" w:type="dxa"/>
            <w:vAlign w:val="center"/>
          </w:tcPr>
          <w:p>
            <w:pPr>
              <w:pStyle w:val="26"/>
              <w:adjustRightInd w:val="0"/>
              <w:snapToGrid w:val="0"/>
              <w:rPr>
                <w:rFonts w:hint="eastAsia" w:hAnsi="宋体" w:eastAsia="宋体" w:cs="宋体"/>
                <w:iCs/>
                <w:color w:val="auto"/>
                <w:highlight w:val="none"/>
                <w:lang w:eastAsia="zh-CN"/>
              </w:rPr>
            </w:pPr>
            <w:r>
              <w:rPr>
                <w:rFonts w:hint="eastAsia" w:hAnsi="宋体" w:cs="宋体"/>
                <w:color w:val="auto"/>
                <w:highlight w:val="none"/>
              </w:rPr>
              <w:t>谈判答疑文件应以书面形式递交至</w:t>
            </w:r>
            <w:r>
              <w:rPr>
                <w:rFonts w:hint="eastAsia" w:ascii="宋体" w:hAnsi="宋体" w:cs="宋体"/>
                <w:bCs/>
                <w:color w:val="auto"/>
                <w:szCs w:val="21"/>
                <w:highlight w:val="none"/>
              </w:rPr>
              <w:t>长沙市劳动东路二段48号黄兴车辆段综合楼9楼910</w:t>
            </w:r>
            <w:r>
              <w:rPr>
                <w:rStyle w:val="56"/>
                <w:rFonts w:hint="eastAsia"/>
                <w:color w:val="auto"/>
                <w:highlight w:val="none"/>
                <w:u w:val="none"/>
                <w:shd w:val="clear" w:color="auto" w:fill="FFFFFF"/>
              </w:rPr>
              <w:t>电子评标室</w:t>
            </w:r>
            <w:r>
              <w:rPr>
                <w:rStyle w:val="56"/>
                <w:rFonts w:hint="eastAsia"/>
                <w:color w:val="auto"/>
                <w:highlight w:val="none"/>
                <w:u w:val="none"/>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截止及谈判时间</w:t>
            </w:r>
          </w:p>
        </w:tc>
        <w:tc>
          <w:tcPr>
            <w:tcW w:w="7533" w:type="dxa"/>
            <w:vAlign w:val="center"/>
          </w:tcPr>
          <w:p>
            <w:pPr>
              <w:adjustRightInd w:val="0"/>
              <w:snapToGrid w:val="0"/>
              <w:rPr>
                <w:rFonts w:ascii="宋体" w:hAnsi="宋体" w:cs="宋体"/>
                <w:color w:val="auto"/>
                <w:szCs w:val="21"/>
                <w:highlight w:val="none"/>
              </w:rPr>
            </w:pPr>
            <w:bookmarkStart w:id="149" w:name="_GoBack"/>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w:t>
            </w:r>
            <w:bookmarkEnd w:id="149"/>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响应文件的递交</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及谈判地点</w:t>
            </w:r>
          </w:p>
        </w:tc>
        <w:tc>
          <w:tcPr>
            <w:tcW w:w="7533" w:type="dxa"/>
            <w:vAlign w:val="center"/>
          </w:tcPr>
          <w:p>
            <w:pPr>
              <w:adjustRightInd w:val="0"/>
              <w:snapToGrid w:val="0"/>
              <w:jc w:val="left"/>
              <w:rPr>
                <w:rFonts w:ascii="宋体" w:hAnsi="宋体" w:cs="宋体"/>
                <w:color w:val="auto"/>
                <w:szCs w:val="21"/>
                <w:highlight w:val="none"/>
              </w:rPr>
            </w:pPr>
            <w:r>
              <w:rPr>
                <w:rFonts w:hint="eastAsia" w:ascii="宋体" w:hAnsi="宋体" w:cs="宋体"/>
                <w:bCs/>
                <w:color w:val="auto"/>
                <w:szCs w:val="21"/>
                <w:highlight w:val="none"/>
              </w:rPr>
              <w:t>长沙市劳动东路二段48号黄兴车辆段综合楼9楼910</w:t>
            </w:r>
            <w:r>
              <w:rPr>
                <w:rStyle w:val="56"/>
                <w:rFonts w:hint="eastAsia"/>
                <w:color w:val="auto"/>
                <w:highlight w:val="none"/>
                <w:u w:val="none"/>
                <w:shd w:val="clear" w:color="auto" w:fill="FFFFFF"/>
              </w:rPr>
              <w:t>电子评标室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88" w:hRule="atLeast"/>
          <w:jc w:val="center"/>
        </w:trPr>
        <w:tc>
          <w:tcPr>
            <w:tcW w:w="2119" w:type="dxa"/>
            <w:vAlign w:val="center"/>
          </w:tcPr>
          <w:p>
            <w:pPr>
              <w:adjustRightInd w:val="0"/>
              <w:snapToGrid w:val="0"/>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谈判现场验证</w:t>
            </w:r>
          </w:p>
          <w:p>
            <w:pPr>
              <w:adjustRightInd w:val="0"/>
              <w:snapToGrid w:val="0"/>
              <w:spacing w:line="276" w:lineRule="auto"/>
              <w:jc w:val="center"/>
              <w:rPr>
                <w:rFonts w:ascii="宋体" w:hAnsi="宋体" w:cs="宋体"/>
                <w:b/>
                <w:color w:val="auto"/>
                <w:szCs w:val="21"/>
                <w:highlight w:val="none"/>
              </w:rPr>
            </w:pPr>
            <w:r>
              <w:rPr>
                <w:rFonts w:hint="eastAsia" w:ascii="宋体" w:hAnsi="宋体" w:cs="宋体"/>
                <w:b/>
                <w:color w:val="auto"/>
                <w:szCs w:val="21"/>
                <w:highlight w:val="none"/>
              </w:rPr>
              <w:t>须提交的资料</w:t>
            </w:r>
          </w:p>
        </w:tc>
        <w:tc>
          <w:tcPr>
            <w:tcW w:w="7533" w:type="dxa"/>
            <w:vAlign w:val="center"/>
          </w:tcPr>
          <w:p>
            <w:pPr>
              <w:numPr>
                <w:ilvl w:val="0"/>
                <w:numId w:val="16"/>
              </w:numPr>
              <w:adjustRightInd w:val="0"/>
              <w:snapToGrid w:val="0"/>
              <w:spacing w:line="360" w:lineRule="auto"/>
              <w:ind w:firstLine="0"/>
              <w:jc w:val="left"/>
              <w:rPr>
                <w:rFonts w:ascii="宋体" w:hAnsi="宋体" w:cs="宋体"/>
                <w:color w:val="auto"/>
                <w:szCs w:val="21"/>
                <w:highlight w:val="none"/>
              </w:rPr>
            </w:pPr>
            <w:r>
              <w:rPr>
                <w:rFonts w:hint="eastAsia" w:ascii="宋体" w:hAnsi="宋体" w:cs="宋体"/>
                <w:iCs/>
                <w:color w:val="auto"/>
                <w:szCs w:val="21"/>
                <w:highlight w:val="none"/>
              </w:rPr>
              <w:t>谈判单位代表是谈判单位法定代表人参加的，法定代表人须提供法定代表人身份证明书原件</w:t>
            </w:r>
            <w:r>
              <w:rPr>
                <w:rFonts w:hint="eastAsia" w:ascii="宋体" w:hAnsi="宋体" w:cs="宋体"/>
                <w:b/>
                <w:bCs/>
                <w:iCs/>
                <w:color w:val="auto"/>
                <w:szCs w:val="21"/>
                <w:highlight w:val="none"/>
              </w:rPr>
              <w:t>（格式详见本文件第七章）</w:t>
            </w:r>
            <w:r>
              <w:rPr>
                <w:rFonts w:hint="eastAsia" w:ascii="宋体" w:hAnsi="宋体" w:cs="宋体"/>
                <w:color w:val="auto"/>
                <w:szCs w:val="21"/>
                <w:highlight w:val="none"/>
              </w:rPr>
              <w:t>及本人身份证原件。</w:t>
            </w:r>
          </w:p>
          <w:p>
            <w:pPr>
              <w:numPr>
                <w:ilvl w:val="0"/>
                <w:numId w:val="16"/>
              </w:numPr>
              <w:adjustRightInd w:val="0"/>
              <w:snapToGrid w:val="0"/>
              <w:spacing w:line="360" w:lineRule="auto"/>
              <w:ind w:firstLine="0"/>
              <w:jc w:val="left"/>
              <w:rPr>
                <w:rFonts w:ascii="宋体" w:hAnsi="宋体" w:cs="宋体"/>
                <w:iCs/>
                <w:color w:val="auto"/>
                <w:szCs w:val="21"/>
                <w:highlight w:val="none"/>
              </w:rPr>
            </w:pPr>
            <w:r>
              <w:rPr>
                <w:rFonts w:hint="eastAsia" w:ascii="宋体" w:hAnsi="宋体" w:cs="宋体"/>
                <w:iCs/>
                <w:color w:val="auto"/>
                <w:szCs w:val="21"/>
                <w:highlight w:val="none"/>
              </w:rPr>
              <w:t>谈判单位代表是由谈判单位法定代表人授权的委托代理人参加的，其授权委托代理人须提供授权委托书原件（</w:t>
            </w:r>
            <w:r>
              <w:rPr>
                <w:rFonts w:hint="eastAsia" w:ascii="宋体" w:hAnsi="宋体" w:cs="宋体"/>
                <w:b/>
                <w:bCs/>
                <w:iCs/>
                <w:color w:val="auto"/>
                <w:szCs w:val="21"/>
                <w:highlight w:val="none"/>
              </w:rPr>
              <w:t>格式详见本文件第七章</w:t>
            </w:r>
            <w:r>
              <w:rPr>
                <w:rFonts w:hint="eastAsia" w:ascii="宋体" w:hAnsi="宋体" w:cs="宋体"/>
                <w:iCs/>
                <w:color w:val="auto"/>
                <w:szCs w:val="21"/>
                <w:highlight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响应文件有效期</w:t>
            </w:r>
          </w:p>
        </w:tc>
        <w:tc>
          <w:tcPr>
            <w:tcW w:w="7533" w:type="dxa"/>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响应文件份数及要求</w:t>
            </w:r>
          </w:p>
        </w:tc>
        <w:tc>
          <w:tcPr>
            <w:tcW w:w="7533" w:type="dxa"/>
            <w:vAlign w:val="center"/>
          </w:tcPr>
          <w:p>
            <w:pPr>
              <w:adjustRightInd w:val="0"/>
              <w:snapToGrid w:val="0"/>
              <w:rPr>
                <w:rFonts w:ascii="宋体" w:hAnsi="宋体" w:cs="宋体"/>
                <w:color w:val="auto"/>
                <w:szCs w:val="21"/>
                <w:highlight w:val="none"/>
                <w:u w:val="single"/>
              </w:rPr>
            </w:pPr>
            <w:r>
              <w:rPr>
                <w:rFonts w:hint="eastAsia" w:ascii="宋体" w:hAnsi="宋体" w:cs="宋体"/>
                <w:color w:val="auto"/>
                <w:szCs w:val="21"/>
                <w:highlight w:val="none"/>
              </w:rPr>
              <w:t>响应文件纸质文件一式三份（其中正本一份，副本二份），电子文件（U盘或光盘）一份。响应文件一正两副与电子文件一起密封包装。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价格承包内容</w:t>
            </w:r>
          </w:p>
        </w:tc>
        <w:tc>
          <w:tcPr>
            <w:tcW w:w="7533" w:type="dxa"/>
            <w:vAlign w:val="center"/>
          </w:tcPr>
          <w:p>
            <w:pPr>
              <w:adjustRightInd w:val="0"/>
              <w:snapToGrid w:val="0"/>
              <w:spacing w:line="360" w:lineRule="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000000"/>
                <w:kern w:val="2"/>
                <w:sz w:val="21"/>
                <w:szCs w:val="21"/>
                <w:highlight w:val="none"/>
                <w:lang w:val="en-US" w:eastAsia="zh-CN" w:bidi="ar-SA"/>
              </w:rPr>
              <w:t>单价合同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项目支付方式</w:t>
            </w:r>
          </w:p>
        </w:tc>
        <w:tc>
          <w:tcPr>
            <w:tcW w:w="7533" w:type="dxa"/>
            <w:vAlign w:val="center"/>
          </w:tcPr>
          <w:p>
            <w:pPr>
              <w:pStyle w:val="42"/>
              <w:snapToGrid w:val="0"/>
              <w:spacing w:before="0" w:beforeAutospacing="0" w:after="0" w:afterAutospacing="0" w:line="360" w:lineRule="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kern w:val="2"/>
                <w:sz w:val="21"/>
                <w:szCs w:val="21"/>
                <w:highlight w:val="none"/>
                <w:lang w:val="en-US" w:eastAsia="zh-CN" w:bidi="ar-SA"/>
              </w:rPr>
              <w:t>1.本工程无预付款，在工程竣工验收合格移交竣工资料后，支付至实际竣工计量金额的70%，但支付金额不得超过签约合同价的70%；</w:t>
            </w:r>
          </w:p>
          <w:p>
            <w:pPr>
              <w:spacing w:line="360" w:lineRule="auto"/>
              <w:rPr>
                <w:color w:val="auto"/>
                <w:highlight w:val="none"/>
              </w:rPr>
            </w:pPr>
            <w:r>
              <w:rPr>
                <w:rFonts w:hint="eastAsia" w:ascii="Times New Roman" w:hAnsi="Times New Roman" w:eastAsia="宋体" w:cs="Times New Roman"/>
                <w:color w:val="000000"/>
                <w:kern w:val="2"/>
                <w:sz w:val="21"/>
                <w:szCs w:val="21"/>
                <w:highlight w:val="none"/>
                <w:lang w:val="en-US" w:eastAsia="zh-CN" w:bidi="ar-SA"/>
              </w:rPr>
              <w:t>2.工程竣工结算经甲方审定后，支付至合同价格的97%（开具合同价格100%、合法有效的增值税专用发票原件），剩下的3%作为工程质量保证金，在已办理结算的前提下，保修期满后如无任何质量问题甲方一次性无息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信息发布</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指定媒体</w:t>
            </w:r>
          </w:p>
        </w:tc>
        <w:tc>
          <w:tcPr>
            <w:tcW w:w="7533"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长沙市轨道交通集团有限公司</w:t>
            </w:r>
            <w:r>
              <w:rPr>
                <w:color w:val="auto"/>
                <w:highlight w:val="none"/>
              </w:rPr>
              <w:fldChar w:fldCharType="begin"/>
            </w:r>
            <w:r>
              <w:rPr>
                <w:color w:val="auto"/>
                <w:highlight w:val="none"/>
              </w:rPr>
              <w:instrText xml:space="preserve"> HYPERLINK "http://www.hncsmtr.com/" </w:instrText>
            </w:r>
            <w:r>
              <w:rPr>
                <w:color w:val="auto"/>
                <w:highlight w:val="none"/>
              </w:rPr>
              <w:fldChar w:fldCharType="separate"/>
            </w:r>
            <w:r>
              <w:rPr>
                <w:rStyle w:val="56"/>
                <w:rFonts w:hint="eastAsia" w:ascii="宋体" w:hAnsi="宋体" w:cs="宋体"/>
                <w:color w:val="auto"/>
                <w:szCs w:val="21"/>
                <w:highlight w:val="none"/>
                <w:u w:val="none"/>
              </w:rPr>
              <w:t>http://www.hncsmtr.com/</w:t>
            </w:r>
            <w:r>
              <w:rPr>
                <w:rStyle w:val="56"/>
                <w:rFonts w:hint="eastAsia" w:ascii="宋体" w:hAnsi="宋体" w:cs="宋体"/>
                <w:color w:val="auto"/>
                <w:szCs w:val="21"/>
                <w:highlight w:val="none"/>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谈判保证金</w:t>
            </w:r>
          </w:p>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提交渠道</w:t>
            </w:r>
          </w:p>
        </w:tc>
        <w:tc>
          <w:tcPr>
            <w:tcW w:w="7533"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城轨采购网（网址：</w:t>
            </w:r>
            <w:r>
              <w:rPr>
                <w:color w:val="auto"/>
                <w:highlight w:val="none"/>
              </w:rPr>
              <w:fldChar w:fldCharType="begin"/>
            </w:r>
            <w:r>
              <w:rPr>
                <w:color w:val="auto"/>
                <w:highlight w:val="none"/>
              </w:rPr>
              <w:instrText xml:space="preserve"> HYPERLINK "http://www.mtrmart.com）注册参与并按要求提交投标保证金。本次投标保证金的金额为（人民币）" </w:instrText>
            </w:r>
            <w:r>
              <w:rPr>
                <w:color w:val="auto"/>
                <w:highlight w:val="none"/>
              </w:rPr>
              <w:fldChar w:fldCharType="separate"/>
            </w:r>
            <w:r>
              <w:rPr>
                <w:rFonts w:hint="eastAsia" w:ascii="宋体" w:hAnsi="宋体" w:cs="宋体"/>
                <w:color w:val="auto"/>
                <w:szCs w:val="21"/>
                <w:highlight w:val="none"/>
              </w:rPr>
              <w:t>www.mtrmart.com）</w:t>
            </w:r>
            <w:r>
              <w:rPr>
                <w:rFonts w:hint="eastAsia" w:ascii="宋体" w:hAnsi="宋体" w:cs="宋体"/>
                <w:color w:val="auto"/>
                <w:szCs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6" w:hRule="atLeast"/>
          <w:jc w:val="center"/>
        </w:trPr>
        <w:tc>
          <w:tcPr>
            <w:tcW w:w="2119" w:type="dxa"/>
            <w:vAlign w:val="center"/>
          </w:tcPr>
          <w:p>
            <w:pPr>
              <w:adjustRightInd w:val="0"/>
              <w:snapToGrid w:val="0"/>
              <w:jc w:val="center"/>
              <w:rPr>
                <w:rFonts w:ascii="宋体" w:hAnsi="宋体" w:cs="宋体"/>
                <w:b/>
                <w:bCs/>
                <w:color w:val="auto"/>
                <w:szCs w:val="21"/>
                <w:highlight w:val="none"/>
              </w:rPr>
            </w:pPr>
            <w:r>
              <w:rPr>
                <w:rFonts w:hint="eastAsia" w:ascii="宋体" w:hAnsi="宋体" w:cs="宋体"/>
                <w:b/>
                <w:bCs/>
                <w:color w:val="auto"/>
                <w:szCs w:val="21"/>
                <w:highlight w:val="none"/>
              </w:rPr>
              <w:t>自主竞争性谈判</w:t>
            </w:r>
          </w:p>
          <w:p>
            <w:pPr>
              <w:adjustRightInd w:val="0"/>
              <w:snapToGrid w:val="0"/>
              <w:jc w:val="center"/>
              <w:rPr>
                <w:rFonts w:ascii="宋体" w:hAnsi="宋体" w:cs="宋体"/>
                <w:b/>
                <w:color w:val="auto"/>
                <w:szCs w:val="21"/>
                <w:highlight w:val="none"/>
              </w:rPr>
            </w:pPr>
            <w:r>
              <w:rPr>
                <w:rFonts w:hint="eastAsia" w:ascii="宋体" w:hAnsi="宋体" w:cs="宋体"/>
                <w:b/>
                <w:bCs/>
                <w:color w:val="auto"/>
                <w:szCs w:val="21"/>
                <w:highlight w:val="none"/>
              </w:rPr>
              <w:t>文件的获取</w:t>
            </w:r>
          </w:p>
        </w:tc>
        <w:tc>
          <w:tcPr>
            <w:tcW w:w="7533"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“信息发布指定媒介”中对应采购项目谈判邀请公告附件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2119" w:type="dxa"/>
            <w:vAlign w:val="center"/>
          </w:tcPr>
          <w:p>
            <w:pPr>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其他规定</w:t>
            </w:r>
          </w:p>
        </w:tc>
        <w:tc>
          <w:tcPr>
            <w:tcW w:w="7533" w:type="dxa"/>
            <w:vAlign w:val="center"/>
          </w:tcPr>
          <w:p>
            <w:pPr>
              <w:adjustRightInd w:val="0"/>
              <w:snapToGrid w:val="0"/>
              <w:spacing w:line="276" w:lineRule="auto"/>
              <w:rPr>
                <w:rFonts w:hint="eastAsia" w:ascii="宋体" w:hAnsi="宋体" w:eastAsia="宋体" w:cs="宋体"/>
                <w:color w:val="auto"/>
                <w:highlight w:val="none"/>
                <w:lang w:eastAsia="zh-CN"/>
              </w:rPr>
            </w:pPr>
            <w:r>
              <w:rPr>
                <w:rFonts w:hint="eastAsia" w:ascii="宋体" w:hAnsi="宋体" w:cs="宋体"/>
                <w:color w:val="auto"/>
                <w:szCs w:val="21"/>
                <w:highlight w:val="none"/>
                <w:lang w:val="en-US" w:eastAsia="zh-CN"/>
              </w:rPr>
              <w:t>/</w:t>
            </w:r>
          </w:p>
        </w:tc>
      </w:tr>
    </w:tbl>
    <w:p>
      <w:pPr>
        <w:widowControl/>
        <w:jc w:val="left"/>
        <w:rPr>
          <w:rFonts w:ascii="宋体" w:hAnsi="宋体" w:cs="宋体"/>
          <w:color w:val="auto"/>
          <w:highlight w:val="none"/>
        </w:rPr>
        <w:sectPr>
          <w:pgSz w:w="11906" w:h="16838"/>
          <w:pgMar w:top="1440" w:right="1474" w:bottom="1440" w:left="1531" w:header="851" w:footer="850" w:gutter="0"/>
          <w:pgNumType w:fmt="decimal"/>
          <w:cols w:space="0" w:num="1"/>
          <w:docGrid w:linePitch="312" w:charSpace="0"/>
        </w:sectPr>
      </w:pPr>
      <w:bookmarkStart w:id="21" w:name="_Toc14891067"/>
    </w:p>
    <w:p>
      <w:pPr>
        <w:pStyle w:val="4"/>
        <w:keepNext w:val="0"/>
        <w:keepLines w:val="0"/>
        <w:jc w:val="center"/>
        <w:rPr>
          <w:rFonts w:ascii="宋体" w:hAnsi="宋体" w:cs="宋体"/>
          <w:color w:val="auto"/>
          <w:sz w:val="32"/>
          <w:highlight w:val="none"/>
        </w:rPr>
      </w:pPr>
      <w:bookmarkStart w:id="22" w:name="_Toc30640"/>
      <w:bookmarkStart w:id="23" w:name="_Toc1232"/>
      <w:bookmarkStart w:id="24" w:name="_Toc16939"/>
      <w:bookmarkStart w:id="25" w:name="_Toc12284"/>
      <w:bookmarkStart w:id="26" w:name="_Toc26157"/>
      <w:r>
        <w:rPr>
          <w:rFonts w:hint="eastAsia" w:ascii="宋体" w:hAnsi="宋体" w:cs="宋体"/>
          <w:color w:val="auto"/>
          <w:sz w:val="32"/>
          <w:highlight w:val="none"/>
        </w:rPr>
        <w:t>谈判须知正文</w:t>
      </w:r>
      <w:bookmarkEnd w:id="21"/>
      <w:bookmarkEnd w:id="22"/>
      <w:bookmarkEnd w:id="23"/>
      <w:bookmarkEnd w:id="24"/>
      <w:bookmarkEnd w:id="25"/>
      <w:bookmarkEnd w:id="26"/>
    </w:p>
    <w:p>
      <w:pPr>
        <w:pStyle w:val="4"/>
        <w:keepNext w:val="0"/>
        <w:keepLines w:val="0"/>
        <w:rPr>
          <w:rFonts w:ascii="宋体" w:hAnsi="宋体" w:cs="宋体"/>
          <w:color w:val="auto"/>
          <w:sz w:val="21"/>
          <w:szCs w:val="21"/>
          <w:highlight w:val="none"/>
        </w:rPr>
      </w:pPr>
      <w:bookmarkStart w:id="27" w:name="_Toc6723"/>
      <w:bookmarkStart w:id="28" w:name="_Toc14891068"/>
      <w:bookmarkStart w:id="29" w:name="_Toc30930"/>
      <w:r>
        <w:rPr>
          <w:rFonts w:hint="eastAsia" w:ascii="宋体" w:hAnsi="宋体" w:cs="宋体"/>
          <w:color w:val="auto"/>
          <w:sz w:val="21"/>
          <w:szCs w:val="21"/>
          <w:highlight w:val="none"/>
        </w:rPr>
        <w:t>一、说明</w:t>
      </w:r>
      <w:bookmarkEnd w:id="27"/>
      <w:bookmarkEnd w:id="28"/>
      <w:bookmarkEnd w:id="29"/>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w:t>
      </w:r>
      <w:r>
        <w:rPr>
          <w:rFonts w:hint="eastAsia" w:ascii="宋体" w:hAnsi="宋体" w:cs="宋体"/>
          <w:b/>
          <w:color w:val="auto"/>
          <w:szCs w:val="21"/>
          <w:highlight w:val="none"/>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2.本谈判文件的解释权属于长沙市轨道交通运营有限公司。</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3.定义</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3.1“采购单位”是指依法进行采购的法人组织。本项目的采购单位名称见</w:t>
      </w:r>
      <w:r>
        <w:rPr>
          <w:rFonts w:hint="eastAsia" w:ascii="宋体" w:hAnsi="宋体" w:cs="宋体"/>
          <w:b/>
          <w:color w:val="auto"/>
          <w:szCs w:val="21"/>
          <w:highlight w:val="none"/>
        </w:rPr>
        <w:t>前附表</w:t>
      </w:r>
      <w:r>
        <w:rPr>
          <w:rFonts w:hint="eastAsia" w:ascii="宋体" w:hAnsi="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3.2“谈判单位”是指响应本谈判文件要求、参加谈判的法人组织。</w:t>
      </w:r>
      <w:r>
        <w:rPr>
          <w:rFonts w:hint="eastAsia" w:ascii="宋体" w:hAnsi="宋体"/>
          <w:color w:val="auto"/>
          <w:szCs w:val="21"/>
          <w:highlight w:val="none"/>
        </w:rPr>
        <w:t>参与本项目的谈判单位</w:t>
      </w:r>
      <w:r>
        <w:rPr>
          <w:rFonts w:hint="eastAsia" w:hAnsi="宋体"/>
          <w:color w:val="auto"/>
          <w:highlight w:val="none"/>
        </w:rPr>
        <w:t>应按</w:t>
      </w:r>
      <w:r>
        <w:rPr>
          <w:rFonts w:hint="eastAsia" w:hAnsi="宋体"/>
          <w:b/>
          <w:color w:val="auto"/>
          <w:highlight w:val="none"/>
        </w:rPr>
        <w:t>前附表</w:t>
      </w:r>
      <w:r>
        <w:rPr>
          <w:rFonts w:hint="eastAsia" w:hAnsi="宋体"/>
          <w:color w:val="auto"/>
          <w:highlight w:val="none"/>
        </w:rPr>
        <w:t>规定的要求获取谈判文件。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“谈判评审小组”是指采购单位按其规定组建，依法依规履行其职责和义务的机构。</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4.谈判单位资格要求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4.1参与谈判的单位应当符合</w:t>
      </w:r>
      <w:r>
        <w:rPr>
          <w:rFonts w:hint="eastAsia" w:ascii="宋体" w:hAnsi="宋体" w:cs="宋体"/>
          <w:b/>
          <w:color w:val="auto"/>
          <w:szCs w:val="21"/>
          <w:highlight w:val="none"/>
        </w:rPr>
        <w:t>前附表</w:t>
      </w:r>
      <w:r>
        <w:rPr>
          <w:rFonts w:hint="eastAsia" w:ascii="宋体" w:hAnsi="宋体" w:cs="宋体"/>
          <w:color w:val="auto"/>
          <w:szCs w:val="21"/>
          <w:highlight w:val="none"/>
        </w:rPr>
        <w:t>中规定的资格要求；</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4.2参与谈判的单位存在下列情形之一的，其</w:t>
      </w:r>
      <w:r>
        <w:rPr>
          <w:rFonts w:hint="eastAsia" w:ascii="宋体" w:hAnsi="宋体" w:cs="宋体"/>
          <w:bCs/>
          <w:color w:val="auto"/>
          <w:szCs w:val="21"/>
          <w:highlight w:val="none"/>
        </w:rPr>
        <w:t>谈判</w:t>
      </w:r>
      <w:r>
        <w:rPr>
          <w:rFonts w:hint="eastAsia" w:ascii="宋体" w:hAnsi="宋体" w:cs="宋体"/>
          <w:color w:val="auto"/>
          <w:szCs w:val="21"/>
          <w:highlight w:val="none"/>
        </w:rPr>
        <w:t>将被</w:t>
      </w:r>
      <w:r>
        <w:rPr>
          <w:rFonts w:hint="eastAsia" w:ascii="宋体" w:hAnsi="宋体" w:cs="宋体"/>
          <w:b/>
          <w:bCs/>
          <w:color w:val="auto"/>
          <w:szCs w:val="21"/>
          <w:highlight w:val="none"/>
        </w:rPr>
        <w:t>否决</w:t>
      </w:r>
      <w:r>
        <w:rPr>
          <w:rFonts w:hint="eastAsia" w:ascii="宋体" w:hAnsi="宋体" w:cs="宋体"/>
          <w:color w:val="auto"/>
          <w:szCs w:val="21"/>
          <w:highlight w:val="none"/>
        </w:rPr>
        <w:t>：</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（1）与采购单位存在利害关系且可能影响采购公正性；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（2）谈判单位法定代表人或负责人与其他谈判单位法定代表人或负责人为同一人；</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（3）与本采购项目的其他谈判单位存在控股、管理关系；</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（4）被责令停产停业、暂扣或者吊销许可证、暂扣或者吊销执照；</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（5）进入破产、清算、注销程序，或存在其他可能丧失履约能力的情形；</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（6）在国家企业信用信息公示系统中显示已被列入严重违法失信企业名单；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（7）在“信用中国”网站（www.creditchina.gov.cn）或“信用湖南”网站（www.credithunan.gov.cn）中显示已被列入失信被执行人名单。</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（8）不同谈判单位的谈判保证金从同一账户转出的情形。</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5.参与谈判的费用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5.1无论谈判的结果如何，谈判单位应自行承担所有与本次竞争性谈判活动有关的全部费用。</w:t>
      </w:r>
    </w:p>
    <w:p>
      <w:pPr>
        <w:pStyle w:val="26"/>
        <w:adjustRightInd w:val="0"/>
        <w:snapToGrid w:val="0"/>
        <w:spacing w:line="360" w:lineRule="auto"/>
        <w:ind w:firstLine="422" w:firstLineChars="200"/>
        <w:rPr>
          <w:rFonts w:hAnsi="宋体" w:cs="宋体"/>
          <w:b/>
          <w:bCs/>
          <w:color w:val="auto"/>
          <w:highlight w:val="none"/>
        </w:rPr>
      </w:pPr>
      <w:r>
        <w:rPr>
          <w:rFonts w:hint="eastAsia" w:hAnsi="宋体" w:cs="宋体"/>
          <w:b/>
          <w:color w:val="auto"/>
          <w:highlight w:val="none"/>
        </w:rPr>
        <w:t>6．</w:t>
      </w:r>
      <w:r>
        <w:rPr>
          <w:rFonts w:hint="eastAsia" w:hAnsi="宋体"/>
          <w:b/>
          <w:bCs/>
          <w:color w:val="auto"/>
          <w:highlight w:val="none"/>
        </w:rPr>
        <w:t>谈判现场验证资料</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6.1谈判单位代表为谈判单位法定代表人的：应提供法定代表人身份证明书</w:t>
      </w:r>
      <w:r>
        <w:rPr>
          <w:rFonts w:hint="eastAsia" w:hAnsi="宋体" w:cs="宋体"/>
          <w:b/>
          <w:bCs/>
          <w:color w:val="auto"/>
          <w:highlight w:val="none"/>
        </w:rPr>
        <w:t>（见</w:t>
      </w:r>
      <w:r>
        <w:rPr>
          <w:rFonts w:hint="eastAsia" w:hAnsi="宋体" w:cs="宋体"/>
          <w:b/>
          <w:bCs/>
          <w:iCs/>
          <w:color w:val="auto"/>
          <w:highlight w:val="none"/>
        </w:rPr>
        <w:t>第七章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26"/>
        <w:adjustRightInd w:val="0"/>
        <w:snapToGrid w:val="0"/>
        <w:spacing w:line="360" w:lineRule="auto"/>
        <w:ind w:firstLine="420" w:firstLineChars="200"/>
        <w:rPr>
          <w:rFonts w:hAnsi="宋体" w:cs="宋体"/>
          <w:b/>
          <w:strike/>
          <w:color w:val="auto"/>
          <w:highlight w:val="none"/>
        </w:rPr>
      </w:pPr>
      <w:r>
        <w:rPr>
          <w:rFonts w:hint="eastAsia" w:hAnsi="宋体" w:cs="宋体"/>
          <w:color w:val="auto"/>
          <w:highlight w:val="none"/>
        </w:rPr>
        <w:t>6.2谈判单位代表不是谈判单位法定代表人的：应提供授权委托书</w:t>
      </w:r>
      <w:r>
        <w:rPr>
          <w:rFonts w:hint="eastAsia" w:hAnsi="宋体" w:cs="宋体"/>
          <w:b/>
          <w:bCs/>
          <w:color w:val="auto"/>
          <w:highlight w:val="none"/>
        </w:rPr>
        <w:t>（见</w:t>
      </w:r>
      <w:r>
        <w:rPr>
          <w:rFonts w:hint="eastAsia" w:hAnsi="宋体" w:cs="宋体"/>
          <w:b/>
          <w:bCs/>
          <w:iCs/>
          <w:color w:val="auto"/>
          <w:highlight w:val="none"/>
        </w:rPr>
        <w:t>第七章</w:t>
      </w:r>
      <w:r>
        <w:rPr>
          <w:rFonts w:hint="eastAsia" w:hAnsi="宋体" w:cs="宋体"/>
          <w:b/>
          <w:bCs/>
          <w:color w:val="auto"/>
          <w:highlight w:val="none"/>
        </w:rPr>
        <w:t>响应文件格式）</w:t>
      </w:r>
      <w:r>
        <w:rPr>
          <w:rFonts w:hint="eastAsia" w:hAnsi="宋体" w:cs="宋体"/>
          <w:color w:val="auto"/>
          <w:highlight w:val="none"/>
        </w:rPr>
        <w:t>原件及本人身份证原件。</w:t>
      </w:r>
    </w:p>
    <w:p>
      <w:pPr>
        <w:pStyle w:val="4"/>
        <w:keepNext w:val="0"/>
        <w:keepLines w:val="0"/>
        <w:rPr>
          <w:rFonts w:ascii="宋体" w:hAnsi="宋体" w:cs="宋体"/>
          <w:color w:val="auto"/>
          <w:sz w:val="21"/>
          <w:szCs w:val="21"/>
          <w:highlight w:val="none"/>
        </w:rPr>
      </w:pPr>
      <w:bookmarkStart w:id="30" w:name="_Toc12083"/>
      <w:bookmarkStart w:id="31" w:name="_Toc32362"/>
      <w:bookmarkStart w:id="32" w:name="_Toc14891069"/>
      <w:r>
        <w:rPr>
          <w:rFonts w:hint="eastAsia" w:ascii="宋体" w:hAnsi="宋体" w:cs="宋体"/>
          <w:color w:val="auto"/>
          <w:sz w:val="21"/>
          <w:szCs w:val="21"/>
          <w:highlight w:val="none"/>
        </w:rPr>
        <w:t>二、谈判文件</w:t>
      </w:r>
      <w:bookmarkEnd w:id="30"/>
      <w:bookmarkEnd w:id="31"/>
      <w:bookmarkEnd w:id="32"/>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7．谈判文件的组成</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7.1谈判文件由下列文件组成：</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第一章 谈判邀请公告</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第二章 谈判须知</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第三章 评审办法及标准</w:t>
      </w:r>
    </w:p>
    <w:p>
      <w:pPr>
        <w:pStyle w:val="26"/>
        <w:adjustRightInd w:val="0"/>
        <w:snapToGrid w:val="0"/>
        <w:spacing w:line="360" w:lineRule="auto"/>
        <w:ind w:firstLine="420" w:firstLineChars="200"/>
        <w:rPr>
          <w:rFonts w:hint="eastAsia" w:hAnsi="宋体" w:eastAsia="宋体" w:cs="宋体"/>
          <w:color w:val="auto"/>
          <w:highlight w:val="none"/>
          <w:lang w:eastAsia="zh-CN"/>
        </w:rPr>
      </w:pPr>
      <w:r>
        <w:rPr>
          <w:rFonts w:hint="eastAsia" w:hAnsi="宋体" w:cs="宋体"/>
          <w:color w:val="auto"/>
          <w:highlight w:val="none"/>
        </w:rPr>
        <w:t>第四章 用户需求书</w:t>
      </w:r>
      <w:r>
        <w:rPr>
          <w:rFonts w:hint="eastAsia" w:hAnsi="宋体" w:cs="宋体"/>
          <w:color w:val="auto"/>
          <w:highlight w:val="none"/>
          <w:lang w:eastAsia="zh-CN"/>
        </w:rPr>
        <w:t>（</w:t>
      </w:r>
      <w:r>
        <w:rPr>
          <w:rFonts w:hint="eastAsia" w:hAnsi="宋体" w:cs="宋体"/>
          <w:color w:val="auto"/>
          <w:highlight w:val="none"/>
          <w:lang w:val="en-US" w:eastAsia="zh-CN"/>
        </w:rPr>
        <w:t>另册</w:t>
      </w:r>
      <w:r>
        <w:rPr>
          <w:rFonts w:hint="eastAsia" w:hAnsi="宋体" w:cs="宋体"/>
          <w:color w:val="auto"/>
          <w:highlight w:val="none"/>
          <w:lang w:eastAsia="zh-CN"/>
        </w:rPr>
        <w:t>）</w:t>
      </w:r>
    </w:p>
    <w:p>
      <w:pPr>
        <w:pStyle w:val="26"/>
        <w:adjustRightInd w:val="0"/>
        <w:snapToGrid w:val="0"/>
        <w:spacing w:line="360" w:lineRule="auto"/>
        <w:ind w:firstLine="420" w:firstLineChars="200"/>
        <w:rPr>
          <w:rFonts w:hint="eastAsia" w:hAnsi="宋体" w:eastAsia="宋体" w:cs="宋体"/>
          <w:color w:val="auto"/>
          <w:highlight w:val="none"/>
          <w:lang w:eastAsia="zh-CN"/>
        </w:rPr>
      </w:pPr>
      <w:r>
        <w:rPr>
          <w:rFonts w:hint="eastAsia" w:hAnsi="宋体" w:cs="宋体"/>
          <w:color w:val="auto"/>
          <w:highlight w:val="none"/>
        </w:rPr>
        <w:t xml:space="preserve">第五章 </w:t>
      </w:r>
      <w:r>
        <w:rPr>
          <w:rFonts w:hint="eastAsia" w:hAnsi="宋体" w:cs="宋体"/>
          <w:color w:val="auto"/>
          <w:highlight w:val="none"/>
          <w:lang w:eastAsia="zh-CN"/>
        </w:rPr>
        <w:t>谈判</w:t>
      </w:r>
      <w:r>
        <w:rPr>
          <w:rFonts w:hint="eastAsia" w:hAnsi="宋体" w:cs="宋体"/>
          <w:color w:val="auto"/>
          <w:highlight w:val="none"/>
        </w:rPr>
        <w:t>最高限价</w:t>
      </w:r>
      <w:r>
        <w:rPr>
          <w:rFonts w:hint="eastAsia" w:hAnsi="宋体" w:cs="宋体"/>
          <w:color w:val="auto"/>
          <w:highlight w:val="none"/>
          <w:lang w:eastAsia="zh-CN"/>
        </w:rPr>
        <w:t>（</w:t>
      </w:r>
      <w:r>
        <w:rPr>
          <w:rFonts w:hint="eastAsia" w:hAnsi="宋体" w:cs="宋体"/>
          <w:color w:val="auto"/>
          <w:highlight w:val="none"/>
          <w:lang w:val="en-US" w:eastAsia="zh-CN"/>
        </w:rPr>
        <w:t>另册</w:t>
      </w:r>
      <w:r>
        <w:rPr>
          <w:rFonts w:hint="eastAsia" w:hAnsi="宋体" w:cs="宋体"/>
          <w:color w:val="auto"/>
          <w:highlight w:val="none"/>
          <w:lang w:eastAsia="zh-CN"/>
        </w:rPr>
        <w:t>）</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第六章 合同格式条款</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第七章 响应文件组成</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7.2</w:t>
      </w:r>
      <w:r>
        <w:rPr>
          <w:rFonts w:hint="eastAsia" w:hAnsi="宋体" w:cs="宋体"/>
          <w:color w:val="auto"/>
          <w:kern w:val="0"/>
          <w:highlight w:val="none"/>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7.3谈判单位应仔细阅读</w:t>
      </w:r>
      <w:r>
        <w:rPr>
          <w:rFonts w:hint="eastAsia" w:ascii="宋体" w:hAnsi="宋体" w:cs="宋体"/>
          <w:bCs/>
          <w:color w:val="auto"/>
          <w:szCs w:val="21"/>
          <w:highlight w:val="none"/>
        </w:rPr>
        <w:t>谈判</w:t>
      </w:r>
      <w:r>
        <w:rPr>
          <w:rFonts w:hint="eastAsia" w:ascii="宋体" w:hAnsi="宋体" w:cs="宋体"/>
          <w:color w:val="auto"/>
          <w:szCs w:val="21"/>
          <w:highlight w:val="none"/>
        </w:rPr>
        <w:t>文件的全部内容，按照</w:t>
      </w:r>
      <w:r>
        <w:rPr>
          <w:rFonts w:hint="eastAsia" w:ascii="宋体" w:hAnsi="宋体" w:cs="宋体"/>
          <w:bCs/>
          <w:color w:val="auto"/>
          <w:szCs w:val="21"/>
          <w:highlight w:val="none"/>
        </w:rPr>
        <w:t>谈判</w:t>
      </w:r>
      <w:r>
        <w:rPr>
          <w:rFonts w:hint="eastAsia" w:ascii="宋体" w:hAnsi="宋体" w:cs="宋体"/>
          <w:color w:val="auto"/>
          <w:szCs w:val="21"/>
          <w:highlight w:val="none"/>
        </w:rPr>
        <w:t>文件要求编制响应文件。任何对</w:t>
      </w:r>
      <w:r>
        <w:rPr>
          <w:rFonts w:hint="eastAsia" w:ascii="宋体" w:hAnsi="宋体" w:cs="宋体"/>
          <w:bCs/>
          <w:color w:val="auto"/>
          <w:szCs w:val="21"/>
          <w:highlight w:val="none"/>
        </w:rPr>
        <w:t>谈判</w:t>
      </w:r>
      <w:r>
        <w:rPr>
          <w:rFonts w:hint="eastAsia" w:ascii="宋体" w:hAnsi="宋体" w:cs="宋体"/>
          <w:color w:val="auto"/>
          <w:szCs w:val="21"/>
          <w:highlight w:val="none"/>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bCs/>
          <w:color w:val="auto"/>
          <w:szCs w:val="21"/>
          <w:highlight w:val="none"/>
        </w:rPr>
        <w:t>8.</w:t>
      </w:r>
      <w:r>
        <w:rPr>
          <w:rFonts w:hint="eastAsia" w:ascii="宋体" w:hAnsi="宋体" w:cs="宋体"/>
          <w:b/>
          <w:color w:val="auto"/>
          <w:kern w:val="0"/>
          <w:szCs w:val="21"/>
          <w:highlight w:val="none"/>
        </w:rPr>
        <w:t>谈判文件的澄清及答疑</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8.1.谈判单位应仔细阅读和检查谈判文件的全部内容，如有疑问，</w:t>
      </w:r>
      <w:r>
        <w:rPr>
          <w:rFonts w:hint="eastAsia" w:ascii="宋体" w:hAnsi="宋体" w:cs="宋体"/>
          <w:color w:val="auto"/>
          <w:szCs w:val="21"/>
          <w:highlight w:val="none"/>
        </w:rPr>
        <w:t>应按</w:t>
      </w:r>
      <w:r>
        <w:rPr>
          <w:rFonts w:hint="eastAsia" w:ascii="宋体" w:hAnsi="宋体" w:cs="宋体"/>
          <w:b/>
          <w:bCs/>
          <w:color w:val="auto"/>
          <w:szCs w:val="21"/>
          <w:highlight w:val="none"/>
        </w:rPr>
        <w:t>前附表</w:t>
      </w:r>
      <w:r>
        <w:rPr>
          <w:rFonts w:hint="eastAsia" w:ascii="宋体" w:hAnsi="宋体" w:cs="宋体"/>
          <w:color w:val="auto"/>
          <w:szCs w:val="21"/>
          <w:highlight w:val="none"/>
        </w:rPr>
        <w:t>规定的时间、方式及地点</w:t>
      </w:r>
      <w:r>
        <w:rPr>
          <w:rFonts w:hint="eastAsia" w:ascii="宋体" w:hAnsi="宋体" w:cs="宋体"/>
          <w:iCs/>
          <w:color w:val="auto"/>
          <w:szCs w:val="21"/>
          <w:highlight w:val="none"/>
        </w:rPr>
        <w:t>向采购</w:t>
      </w:r>
      <w:r>
        <w:rPr>
          <w:rFonts w:hint="eastAsia" w:ascii="宋体" w:hAnsi="宋体" w:cs="宋体"/>
          <w:iCs/>
          <w:color w:val="auto"/>
          <w:szCs w:val="21"/>
          <w:highlight w:val="none"/>
          <w:lang w:eastAsia="zh-CN"/>
        </w:rPr>
        <w:t>单位</w:t>
      </w:r>
      <w:r>
        <w:rPr>
          <w:rFonts w:hint="eastAsia" w:ascii="宋体" w:hAnsi="宋体" w:cs="宋体"/>
          <w:iCs/>
          <w:color w:val="auto"/>
          <w:szCs w:val="21"/>
          <w:highlight w:val="none"/>
        </w:rPr>
        <w:t>提出，</w:t>
      </w:r>
      <w:r>
        <w:rPr>
          <w:rFonts w:hint="eastAsia" w:ascii="宋体" w:hAnsi="宋体" w:cs="宋体"/>
          <w:color w:val="auto"/>
          <w:szCs w:val="21"/>
          <w:highlight w:val="none"/>
        </w:rPr>
        <w:t>否则，由此引起的损失由谈判单位自己承担。</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8.2.在谈判截止时间前，采购单位可主动地或在解答谈判单位提出的问题时对谈判文件进行澄清或修改。</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8.3</w:t>
      </w:r>
      <w:r>
        <w:rPr>
          <w:rFonts w:hint="eastAsia" w:ascii="宋体" w:hAnsi="宋体" w:cs="宋体"/>
          <w:color w:val="auto"/>
          <w:kern w:val="0"/>
          <w:szCs w:val="21"/>
          <w:highlight w:val="none"/>
        </w:rPr>
        <w:t>澄清或者修改的内容可能影响响应文件编制的，采购单位应当在提交响应文件截止之日3个工作日前，在长沙市轨道交通集团有限公司官网（http://www.hncsmtr.com/）发布澄清或答疑文件及顺延谈判时间，敬请获得谈判文件的所有谈判单位关注，恕不另行通知，如有遗漏采购单位不负任何责任。</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9.</w:t>
      </w:r>
      <w:r>
        <w:rPr>
          <w:rFonts w:hint="eastAsia" w:ascii="宋体" w:hAnsi="宋体" w:cs="宋体"/>
          <w:b/>
          <w:color w:val="auto"/>
          <w:kern w:val="0"/>
          <w:szCs w:val="21"/>
          <w:highlight w:val="none"/>
        </w:rPr>
        <w:t>响应文件递交截止时间、谈判会议时间及地点</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9.1</w:t>
      </w:r>
      <w:r>
        <w:rPr>
          <w:rFonts w:hint="eastAsia" w:hAnsi="宋体" w:cs="宋体"/>
          <w:color w:val="auto"/>
          <w:kern w:val="0"/>
          <w:highlight w:val="none"/>
        </w:rPr>
        <w:t>谈判单位递交响应文件截止时间、谈判会议</w:t>
      </w:r>
      <w:r>
        <w:rPr>
          <w:rFonts w:hint="eastAsia" w:hAnsi="宋体" w:cs="宋体"/>
          <w:color w:val="auto"/>
          <w:highlight w:val="none"/>
        </w:rPr>
        <w:t>时间及地点见</w:t>
      </w:r>
      <w:r>
        <w:rPr>
          <w:rFonts w:hint="eastAsia" w:hAnsi="宋体" w:cs="宋体"/>
          <w:b/>
          <w:color w:val="auto"/>
          <w:highlight w:val="none"/>
        </w:rPr>
        <w:t>前附表</w:t>
      </w:r>
      <w:r>
        <w:rPr>
          <w:rFonts w:hint="eastAsia" w:hAnsi="宋体" w:cs="宋体"/>
          <w:color w:val="auto"/>
          <w:highlight w:val="none"/>
        </w:rPr>
        <w:t>。</w:t>
      </w:r>
    </w:p>
    <w:p>
      <w:pPr>
        <w:pStyle w:val="4"/>
        <w:keepNext w:val="0"/>
        <w:keepLines w:val="0"/>
        <w:rPr>
          <w:rFonts w:ascii="宋体" w:hAnsi="宋体" w:cs="宋体"/>
          <w:color w:val="auto"/>
          <w:sz w:val="21"/>
          <w:szCs w:val="21"/>
          <w:highlight w:val="none"/>
        </w:rPr>
      </w:pPr>
      <w:bookmarkStart w:id="33" w:name="_Toc14891070"/>
      <w:bookmarkStart w:id="34" w:name="_Toc12246"/>
      <w:bookmarkStart w:id="35" w:name="_Toc11683"/>
      <w:r>
        <w:rPr>
          <w:rFonts w:hint="eastAsia" w:ascii="宋体" w:hAnsi="宋体" w:cs="宋体"/>
          <w:color w:val="auto"/>
          <w:sz w:val="21"/>
          <w:szCs w:val="21"/>
          <w:highlight w:val="none"/>
        </w:rPr>
        <w:t>三、响应文件</w:t>
      </w:r>
      <w:bookmarkEnd w:id="33"/>
      <w:bookmarkEnd w:id="34"/>
      <w:bookmarkEnd w:id="35"/>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10.一般要求</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10.1谈判单位应仔细阅读谈判文件的所有内容，按谈判文件的要求编制响应文件，</w:t>
      </w:r>
      <w:r>
        <w:rPr>
          <w:rFonts w:hint="eastAsia" w:ascii="宋体" w:hAnsi="宋体" w:cs="宋体"/>
          <w:b/>
          <w:color w:val="auto"/>
          <w:szCs w:val="21"/>
          <w:highlight w:val="none"/>
        </w:rPr>
        <w:t>严禁复制、粘贴，</w:t>
      </w:r>
      <w:r>
        <w:rPr>
          <w:rFonts w:hint="eastAsia" w:ascii="宋体" w:hAnsi="宋体" w:cs="宋体"/>
          <w:bCs/>
          <w:color w:val="auto"/>
          <w:szCs w:val="21"/>
          <w:highlight w:val="none"/>
        </w:rPr>
        <w:t>并保证所提供的全部资料的真实性。</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10.2</w:t>
      </w:r>
      <w:r>
        <w:rPr>
          <w:rFonts w:hint="eastAsia" w:ascii="宋体" w:hAnsi="宋体" w:cs="宋体"/>
          <w:color w:val="auto"/>
          <w:szCs w:val="21"/>
          <w:highlight w:val="none"/>
        </w:rPr>
        <w:t>谈判单位提交的响应文件使用中文。</w:t>
      </w:r>
    </w:p>
    <w:p>
      <w:pPr>
        <w:pStyle w:val="26"/>
        <w:adjustRightInd w:val="0"/>
        <w:snapToGrid w:val="0"/>
        <w:spacing w:line="360" w:lineRule="auto"/>
        <w:ind w:firstLine="420" w:firstLineChars="200"/>
        <w:rPr>
          <w:rFonts w:hAnsi="宋体" w:cs="宋体"/>
          <w:color w:val="auto"/>
          <w:highlight w:val="none"/>
        </w:rPr>
      </w:pPr>
      <w:r>
        <w:rPr>
          <w:rFonts w:hint="eastAsia" w:hAnsi="宋体" w:cs="宋体"/>
          <w:bCs/>
          <w:color w:val="auto"/>
          <w:highlight w:val="none"/>
        </w:rPr>
        <w:t>10.3</w:t>
      </w:r>
      <w:r>
        <w:rPr>
          <w:rFonts w:hint="eastAsia" w:hAnsi="宋体" w:cs="宋体"/>
          <w:color w:val="auto"/>
          <w:highlight w:val="none"/>
        </w:rPr>
        <w:t>计量单位应使用我国法定计量单位，未列明时应默认为我国法定计量单位。</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10.4响应文件应采用书面形式，电报、传真、电子邮件形式的响应文件概不接受。</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11.</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的组成</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11.1响应文件应包括下列内容：</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）谈判承诺书</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）法定代表人身份证明书</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（3）授权委托书</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（4）谈判单位资格条件证明文件</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（5）不拖欠农民工工资承诺书</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）商务详细评审证明文件</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）技术详细评审证明文件</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）报价一览表</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eastAsia="zh-CN"/>
        </w:rPr>
        <w:t>）谈判报价表</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）其他资料（如有）</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11.2在谈判过程中，谈判单位根据</w:t>
      </w:r>
      <w:r>
        <w:rPr>
          <w:rFonts w:hint="eastAsia" w:hAnsi="宋体" w:cs="宋体"/>
          <w:color w:val="auto"/>
          <w:kern w:val="0"/>
          <w:highlight w:val="none"/>
        </w:rPr>
        <w:t>谈判评审小组</w:t>
      </w:r>
      <w:r>
        <w:rPr>
          <w:rFonts w:hint="eastAsia" w:hAnsi="宋体" w:cs="宋体"/>
          <w:bCs/>
          <w:color w:val="auto"/>
          <w:highlight w:val="none"/>
        </w:rPr>
        <w:t>要求</w:t>
      </w:r>
      <w:r>
        <w:rPr>
          <w:rFonts w:hint="eastAsia" w:hAnsi="宋体" w:cs="宋体"/>
          <w:color w:val="auto"/>
          <w:kern w:val="0"/>
          <w:highlight w:val="none"/>
        </w:rPr>
        <w:t>提交的</w:t>
      </w:r>
      <w:r>
        <w:rPr>
          <w:rFonts w:hint="eastAsia" w:hAnsi="宋体" w:cs="宋体"/>
          <w:color w:val="auto"/>
          <w:highlight w:val="none"/>
        </w:rPr>
        <w:t>书面承诺或其他文件是响应文件的有效组成部分。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11.3谈判单位无论成交与否，其递交的响应文件均不予退还。</w:t>
      </w:r>
    </w:p>
    <w:p>
      <w:pPr>
        <w:adjustRightInd w:val="0"/>
        <w:snapToGrid w:val="0"/>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12.报价要求</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12.1本项目为一轮报价。谈判单位的报价，应是完成谈判文件及合同条款上所列的全部谈判内容及工期。</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12.2报价方式：除非采购单位对谈判文件予以修改，谈判单位应按采购单位提供的工程量清单中列出的工程项目和工程量填报单价和合价。每一项目只允许有一个报价。任何有选择的报价将不予接受。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12.3谈判单位应填写工程量清单中所述的所有项目的综合单价和合价，谈判单位没有填入综合单价或合价的项目，采购单位将不予支付，并认为此项目费用已包含在工程量清单的其它综合单价或合价之中。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12.4计价方式：谈判单位应遵守湘建价﹝2020﹞56号文件的有关规定，定额执行2020年湖南省消耗量标准，在保证质量、工期的前提下，根据工程实际情况报出自己的报价，但报价不能低于其企业成本价。</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12.5销项税额必须严格按标准执行，不得折扣、优惠；</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12.6材料价格调整问题:见合同条款。</w:t>
      </w:r>
    </w:p>
    <w:p>
      <w:pPr>
        <w:adjustRightInd w:val="0"/>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12.7工程量的变更调整</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见合同条款。</w:t>
      </w:r>
    </w:p>
    <w:p>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12.8本项目设置最高限价，谈判单位所报</w:t>
      </w:r>
      <w:r>
        <w:rPr>
          <w:rFonts w:hint="eastAsia" w:ascii="宋体" w:hAnsi="宋体" w:cs="宋体"/>
          <w:b/>
          <w:bCs/>
          <w:color w:val="auto"/>
          <w:szCs w:val="21"/>
          <w:highlight w:val="none"/>
        </w:rPr>
        <w:t>含税总</w:t>
      </w:r>
      <w:r>
        <w:rPr>
          <w:rFonts w:hint="eastAsia" w:ascii="宋体" w:hAnsi="宋体" w:cs="宋体"/>
          <w:b/>
          <w:bCs/>
          <w:color w:val="auto"/>
          <w:szCs w:val="21"/>
          <w:highlight w:val="none"/>
          <w:lang w:val="en-US" w:eastAsia="zh-CN"/>
        </w:rPr>
        <w:t>报</w:t>
      </w:r>
      <w:r>
        <w:rPr>
          <w:rFonts w:hint="eastAsia" w:ascii="宋体" w:hAnsi="宋体" w:cs="宋体"/>
          <w:b/>
          <w:bCs/>
          <w:color w:val="auto"/>
          <w:szCs w:val="21"/>
          <w:highlight w:val="none"/>
        </w:rPr>
        <w:t>价不能超过最高限价，不超过最高限价的谈判总报价为有效报价。</w:t>
      </w:r>
      <w:r>
        <w:rPr>
          <w:rFonts w:hint="eastAsia" w:ascii="宋体" w:hAnsi="宋体" w:cs="宋体"/>
          <w:color w:val="auto"/>
          <w:szCs w:val="21"/>
          <w:highlight w:val="none"/>
        </w:rPr>
        <w:t>本项目最高限价</w:t>
      </w:r>
      <w:r>
        <w:rPr>
          <w:rFonts w:hint="eastAsia" w:ascii="宋体" w:hAnsi="宋体" w:cs="宋体"/>
          <w:color w:val="auto"/>
          <w:highlight w:val="none"/>
        </w:rPr>
        <w:t>见</w:t>
      </w:r>
      <w:r>
        <w:rPr>
          <w:rFonts w:hint="eastAsia" w:ascii="宋体" w:hAnsi="宋体" w:cs="宋体"/>
          <w:b/>
          <w:color w:val="auto"/>
          <w:highlight w:val="none"/>
        </w:rPr>
        <w:t>前附表</w:t>
      </w:r>
      <w:r>
        <w:rPr>
          <w:rFonts w:hint="eastAsia" w:ascii="宋体" w:hAnsi="宋体" w:cs="宋体"/>
          <w:color w:val="auto"/>
          <w:highlight w:val="none"/>
        </w:rPr>
        <w:t>。</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12.9本项目以不含增值税总价进行评审。谈判单位报价须满足“谈判不含增值税总报价=谈判总报价/（1+增值税税率）”和“不含增值税单价=含税单价/（1+增值税税率）”，否则视为无效报价。</w:t>
      </w:r>
    </w:p>
    <w:p>
      <w:pPr>
        <w:adjustRightInd w:val="0"/>
        <w:snapToGrid w:val="0"/>
        <w:spacing w:line="360" w:lineRule="auto"/>
        <w:ind w:firstLine="411" w:firstLineChars="196"/>
        <w:rPr>
          <w:rFonts w:ascii="宋体" w:hAnsi="宋体" w:cs="宋体"/>
          <w:b/>
          <w:bCs/>
          <w:color w:val="auto"/>
          <w:szCs w:val="21"/>
          <w:highlight w:val="none"/>
        </w:rPr>
      </w:pPr>
      <w:r>
        <w:rPr>
          <w:rFonts w:hint="eastAsia" w:ascii="宋体" w:hAnsi="宋体" w:cs="宋体"/>
          <w:color w:val="auto"/>
          <w:szCs w:val="21"/>
          <w:highlight w:val="none"/>
        </w:rPr>
        <w:t>12.10谈判单位投标前请进行必要的现场踏勘，了解项目实际情况，产生的费用自行承担。</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12.11谈判单位应按谈判文件规定的要求、责任范围和合同条件，</w:t>
      </w:r>
      <w:r>
        <w:rPr>
          <w:rFonts w:hint="eastAsia" w:ascii="宋体" w:hAnsi="宋体" w:cs="宋体"/>
          <w:b/>
          <w:bCs/>
          <w:color w:val="auto"/>
          <w:szCs w:val="21"/>
          <w:highlight w:val="none"/>
        </w:rPr>
        <w:t>以人民币报价，以元为单位，保留小数点后两位</w:t>
      </w:r>
      <w:r>
        <w:rPr>
          <w:rFonts w:hint="eastAsia" w:ascii="宋体" w:hAnsi="宋体" w:cs="宋体"/>
          <w:color w:val="auto"/>
          <w:szCs w:val="21"/>
          <w:highlight w:val="none"/>
        </w:rPr>
        <w:t>。</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12.12除合同另有约定外，谈判报价作为中选价及合同价在合同履行期间是固定不变的，不受政策、法规变化以及汇率浮动、物价指数浮动等因素的影响。中选单位不得以任何理由予以变更。以可变动价格提交的报价将被认为是非实质响应而被拒绝。</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12.13谈判单位递交两份或多份内容不同的报价文件，或在一份报价文件中对同一项目报有两个或多个报价，且未声明哪一个有效的，将被认为是非实质响应而被拒绝。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12.14最低报价不能作为中选的保证。</w:t>
      </w:r>
    </w:p>
    <w:p>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12.15本项目为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13.响应文件有效期</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13.1响应文件有效期见</w:t>
      </w:r>
      <w:r>
        <w:rPr>
          <w:rFonts w:hint="eastAsia" w:ascii="宋体" w:hAnsi="宋体" w:cs="宋体"/>
          <w:b/>
          <w:color w:val="auto"/>
          <w:szCs w:val="21"/>
          <w:highlight w:val="none"/>
        </w:rPr>
        <w:t>前附表</w:t>
      </w:r>
      <w:r>
        <w:rPr>
          <w:rFonts w:hint="eastAsia" w:ascii="宋体" w:hAnsi="宋体" w:cs="宋体"/>
          <w:color w:val="auto"/>
          <w:szCs w:val="21"/>
          <w:highlight w:val="none"/>
        </w:rPr>
        <w:t>，在此期间响应文件对谈判单位具有法律约束力，从</w:t>
      </w:r>
      <w:r>
        <w:rPr>
          <w:rFonts w:hint="eastAsia" w:ascii="宋体" w:hAnsi="宋体" w:cs="宋体"/>
          <w:b/>
          <w:color w:val="auto"/>
          <w:szCs w:val="21"/>
          <w:highlight w:val="none"/>
        </w:rPr>
        <w:t>前附表</w:t>
      </w:r>
      <w:r>
        <w:rPr>
          <w:rFonts w:hint="eastAsia" w:ascii="宋体" w:hAnsi="宋体" w:cs="宋体"/>
          <w:color w:val="auto"/>
          <w:szCs w:val="21"/>
          <w:highlight w:val="none"/>
        </w:rPr>
        <w:t>规定的</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之日起计算。响应文件有效期不足的将被视为无效响应。</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14.响应文件的编制</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14.1响应文件应按</w:t>
      </w:r>
      <w:r>
        <w:rPr>
          <w:rFonts w:hint="eastAsia" w:hAnsi="宋体" w:cs="宋体"/>
          <w:b/>
          <w:bCs/>
          <w:color w:val="auto"/>
          <w:sz w:val="21"/>
          <w:szCs w:val="21"/>
          <w:highlight w:val="none"/>
        </w:rPr>
        <w:t>第七章</w:t>
      </w:r>
      <w:r>
        <w:rPr>
          <w:rFonts w:hint="eastAsia" w:hAnsi="宋体" w:cs="宋体"/>
          <w:color w:val="auto"/>
          <w:sz w:val="21"/>
          <w:szCs w:val="21"/>
          <w:highlight w:val="none"/>
        </w:rPr>
        <w:t>“响应文件格式”进行编写，如有必要，可以增加附页，作为响应文件的组成部分。</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14.2响应文件应用不褪色的材料书写或打印（建议双面打印），并按</w:t>
      </w:r>
      <w:r>
        <w:rPr>
          <w:rFonts w:hint="eastAsia" w:hAnsi="宋体" w:cs="宋体"/>
          <w:b/>
          <w:bCs/>
          <w:color w:val="auto"/>
          <w:highlight w:val="none"/>
        </w:rPr>
        <w:t>第七章</w:t>
      </w:r>
      <w:r>
        <w:rPr>
          <w:rFonts w:hint="eastAsia" w:hAnsi="宋体" w:cs="宋体"/>
          <w:color w:val="auto"/>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color w:val="auto"/>
          <w:highlight w:val="none"/>
        </w:rPr>
        <w:t>第七章</w:t>
      </w:r>
      <w:r>
        <w:rPr>
          <w:rFonts w:hint="eastAsia" w:hAnsi="宋体" w:cs="宋体"/>
          <w:color w:val="auto"/>
          <w:highlight w:val="none"/>
        </w:rPr>
        <w:t>“响应文件格式”的要求。</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color w:val="auto"/>
          <w:highlight w:val="none"/>
        </w:rPr>
        <w:t>“正本”</w:t>
      </w:r>
      <w:r>
        <w:rPr>
          <w:rFonts w:hint="eastAsia" w:hAnsi="宋体" w:cs="宋体"/>
          <w:color w:val="auto"/>
          <w:highlight w:val="none"/>
        </w:rPr>
        <w:t>或</w:t>
      </w:r>
      <w:r>
        <w:rPr>
          <w:rFonts w:hint="eastAsia" w:hAnsi="宋体" w:cs="宋体"/>
          <w:b/>
          <w:bCs/>
          <w:color w:val="auto"/>
          <w:highlight w:val="none"/>
        </w:rPr>
        <w:t>“副本”</w:t>
      </w:r>
      <w:r>
        <w:rPr>
          <w:rFonts w:hint="eastAsia" w:hAnsi="宋体" w:cs="宋体"/>
          <w:color w:val="auto"/>
          <w:highlight w:val="none"/>
        </w:rPr>
        <w:t>的字样，若响应文件副本为正本的复印件，还需在谈判文件要求盖章处加盖单位公章。当正本和副本有差异时，以正本为准。</w:t>
      </w:r>
    </w:p>
    <w:p>
      <w:pPr>
        <w:pStyle w:val="4"/>
        <w:keepNext w:val="0"/>
        <w:keepLines w:val="0"/>
        <w:rPr>
          <w:rFonts w:ascii="宋体" w:hAnsi="宋体" w:cs="宋体"/>
          <w:color w:val="auto"/>
          <w:sz w:val="21"/>
          <w:szCs w:val="21"/>
          <w:highlight w:val="none"/>
        </w:rPr>
      </w:pPr>
      <w:bookmarkStart w:id="36" w:name="_Toc29020"/>
      <w:bookmarkStart w:id="37" w:name="_Toc14891071"/>
      <w:bookmarkStart w:id="38" w:name="_Toc32584"/>
      <w:r>
        <w:rPr>
          <w:rFonts w:hint="eastAsia" w:ascii="宋体" w:hAnsi="宋体" w:cs="宋体"/>
          <w:color w:val="auto"/>
          <w:sz w:val="21"/>
          <w:szCs w:val="21"/>
          <w:highlight w:val="none"/>
        </w:rPr>
        <w:t>四、响应文件的递交</w:t>
      </w:r>
      <w:bookmarkEnd w:id="36"/>
      <w:bookmarkEnd w:id="37"/>
      <w:bookmarkEnd w:id="38"/>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15.</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的密封</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15.1谈判单位须将响应文件一正两副与电子文件一起密封包装。</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16.响应文件的标记</w:t>
      </w:r>
    </w:p>
    <w:p>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16.1</w:t>
      </w:r>
      <w:r>
        <w:rPr>
          <w:rFonts w:hint="eastAsia" w:ascii="宋体" w:hAnsi="宋体" w:cs="宋体"/>
          <w:bCs/>
          <w:color w:val="auto"/>
          <w:szCs w:val="21"/>
          <w:highlight w:val="none"/>
        </w:rPr>
        <w:t>响应文件的密封封套上须写明如下内容</w:t>
      </w:r>
      <w:r>
        <w:rPr>
          <w:rFonts w:hint="eastAsia" w:ascii="宋体" w:hAnsi="宋体" w:cs="宋体"/>
          <w:color w:val="auto"/>
          <w:szCs w:val="21"/>
          <w:highlight w:val="none"/>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采购单位：</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谈判单位：</w:t>
            </w:r>
            <w:r>
              <w:rPr>
                <w:rFonts w:hint="eastAsia" w:ascii="宋体" w:hAnsi="宋体" w:cs="宋体"/>
                <w:color w:val="auto"/>
                <w:szCs w:val="21"/>
                <w:highlight w:val="none"/>
                <w:u w:val="single"/>
              </w:rPr>
              <w:t>（填写单位名称并加盖单位公章）</w:t>
            </w:r>
          </w:p>
          <w:p>
            <w:pPr>
              <w:spacing w:line="360" w:lineRule="auto"/>
              <w:ind w:firstLine="840" w:firstLineChars="400"/>
              <w:rPr>
                <w:rFonts w:ascii="宋体" w:hAnsi="宋体" w:cs="宋体"/>
                <w:color w:val="auto"/>
                <w:szCs w:val="21"/>
                <w:highlight w:val="none"/>
              </w:rPr>
            </w:pP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i/>
                <w:iCs/>
                <w:color w:val="auto"/>
                <w:szCs w:val="21"/>
                <w:highlight w:val="none"/>
                <w:u w:val="single"/>
              </w:rPr>
              <w:t xml:space="preserve">    </w:t>
            </w:r>
            <w:r>
              <w:rPr>
                <w:rFonts w:hint="eastAsia" w:ascii="宋体" w:hAnsi="宋体"/>
                <w:bCs/>
                <w:color w:val="auto"/>
                <w:szCs w:val="21"/>
                <w:highlight w:val="none"/>
              </w:rPr>
              <w:t>日</w:t>
            </w:r>
          </w:p>
        </w:tc>
      </w:tr>
    </w:tbl>
    <w:p>
      <w:pPr>
        <w:adjustRightInd w:val="0"/>
        <w:snapToGrid w:val="0"/>
        <w:spacing w:line="360" w:lineRule="auto"/>
        <w:ind w:firstLine="413" w:firstLineChars="196"/>
        <w:rPr>
          <w:rFonts w:ascii="宋体" w:hAnsi="宋体" w:cs="宋体"/>
          <w:b/>
          <w:bCs/>
          <w:color w:val="auto"/>
          <w:szCs w:val="21"/>
          <w:highlight w:val="none"/>
        </w:rPr>
      </w:pP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17.响应文件的递交与接收</w:t>
      </w:r>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17.1谈判单位应按要求在</w:t>
      </w:r>
      <w:r>
        <w:rPr>
          <w:rFonts w:hint="eastAsia" w:ascii="宋体" w:hAnsi="宋体" w:cs="宋体"/>
          <w:color w:val="auto"/>
          <w:kern w:val="0"/>
          <w:szCs w:val="21"/>
          <w:highlight w:val="none"/>
        </w:rPr>
        <w:t>响应文件递交截止时间</w:t>
      </w:r>
      <w:r>
        <w:rPr>
          <w:rFonts w:hint="eastAsia" w:ascii="宋体" w:hAnsi="宋体" w:cs="宋体"/>
          <w:color w:val="auto"/>
          <w:szCs w:val="21"/>
          <w:highlight w:val="none"/>
        </w:rPr>
        <w:t>前，将响应文件送达指定地点，响应文件递交截止时间、地点及要求见</w:t>
      </w:r>
      <w:r>
        <w:rPr>
          <w:rFonts w:hint="eastAsia" w:ascii="宋体" w:hAnsi="宋体" w:cs="宋体"/>
          <w:b/>
          <w:color w:val="auto"/>
          <w:szCs w:val="21"/>
          <w:highlight w:val="none"/>
        </w:rPr>
        <w:t>前附表</w:t>
      </w:r>
      <w:r>
        <w:rPr>
          <w:rFonts w:hint="eastAsia" w:ascii="宋体" w:hAnsi="宋体" w:cs="宋体"/>
          <w:color w:val="auto"/>
          <w:szCs w:val="21"/>
          <w:highlight w:val="none"/>
        </w:rPr>
        <w:t>。</w:t>
      </w:r>
      <w:r>
        <w:rPr>
          <w:rFonts w:hint="eastAsia" w:ascii="宋体" w:hAnsi="宋体" w:cs="宋体"/>
          <w:color w:val="auto"/>
          <w:kern w:val="0"/>
          <w:szCs w:val="21"/>
          <w:highlight w:val="none"/>
        </w:rPr>
        <w:t>在截止时间后送达的响应文件，</w:t>
      </w:r>
      <w:r>
        <w:rPr>
          <w:rFonts w:hint="eastAsia" w:hAnsi="宋体" w:cs="宋体"/>
          <w:color w:val="auto"/>
          <w:kern w:val="0"/>
          <w:highlight w:val="none"/>
        </w:rPr>
        <w:t>采购单位应当拒收。</w:t>
      </w:r>
    </w:p>
    <w:p>
      <w:pPr>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17.2采购单位在</w:t>
      </w:r>
      <w:r>
        <w:rPr>
          <w:rFonts w:hint="eastAsia" w:ascii="宋体" w:hAnsi="宋体" w:cs="宋体"/>
          <w:b/>
          <w:bCs/>
          <w:color w:val="auto"/>
          <w:szCs w:val="21"/>
          <w:highlight w:val="none"/>
        </w:rPr>
        <w:t>前附表</w:t>
      </w:r>
      <w:r>
        <w:rPr>
          <w:rFonts w:hint="eastAsia" w:ascii="宋体" w:hAnsi="宋体" w:cs="宋体"/>
          <w:bCs/>
          <w:color w:val="auto"/>
          <w:szCs w:val="21"/>
          <w:highlight w:val="none"/>
        </w:rPr>
        <w:t>规定的谈判时间和地点，组织谈判单位签到并接收响应文件。</w:t>
      </w:r>
    </w:p>
    <w:p>
      <w:pPr>
        <w:pStyle w:val="4"/>
        <w:keepNext w:val="0"/>
        <w:keepLines w:val="0"/>
        <w:rPr>
          <w:rFonts w:ascii="宋体" w:hAnsi="宋体" w:cs="宋体"/>
          <w:color w:val="auto"/>
          <w:sz w:val="21"/>
          <w:szCs w:val="21"/>
          <w:highlight w:val="none"/>
        </w:rPr>
      </w:pPr>
      <w:bookmarkStart w:id="39" w:name="_Toc9941"/>
      <w:bookmarkStart w:id="40" w:name="_Toc17587"/>
      <w:bookmarkStart w:id="41" w:name="_Toc14891072"/>
      <w:r>
        <w:rPr>
          <w:rFonts w:hint="eastAsia" w:ascii="宋体" w:hAnsi="宋体" w:cs="宋体"/>
          <w:color w:val="auto"/>
          <w:sz w:val="21"/>
          <w:szCs w:val="21"/>
          <w:highlight w:val="none"/>
        </w:rPr>
        <w:t>五、响应文件的评审</w:t>
      </w:r>
      <w:bookmarkEnd w:id="39"/>
      <w:bookmarkEnd w:id="40"/>
      <w:bookmarkEnd w:id="41"/>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18.</w:t>
      </w:r>
      <w:r>
        <w:rPr>
          <w:rFonts w:hint="eastAsia" w:ascii="宋体" w:hAnsi="宋体" w:cs="宋体"/>
          <w:bCs/>
          <w:color w:val="auto"/>
          <w:szCs w:val="21"/>
          <w:highlight w:val="none"/>
        </w:rPr>
        <w:t>评审由谈判评审小组负责，谈判评审小组应按照本谈判文件</w:t>
      </w:r>
      <w:r>
        <w:rPr>
          <w:rFonts w:hint="eastAsia" w:ascii="宋体" w:hAnsi="宋体" w:cs="宋体"/>
          <w:b/>
          <w:color w:val="auto"/>
          <w:szCs w:val="21"/>
          <w:highlight w:val="none"/>
        </w:rPr>
        <w:t>第三章</w:t>
      </w:r>
      <w:r>
        <w:rPr>
          <w:rFonts w:hint="eastAsia" w:ascii="宋体" w:hAnsi="宋体" w:cs="宋体"/>
          <w:bCs/>
          <w:color w:val="auto"/>
          <w:szCs w:val="21"/>
          <w:highlight w:val="none"/>
        </w:rPr>
        <w:t>“评审办法及标准”的内容和程序对响应文件进行评审。</w:t>
      </w:r>
    </w:p>
    <w:p>
      <w:pPr>
        <w:pStyle w:val="4"/>
        <w:keepNext w:val="0"/>
        <w:keepLines w:val="0"/>
        <w:rPr>
          <w:rFonts w:ascii="宋体" w:hAnsi="宋体" w:cs="宋体"/>
          <w:color w:val="auto"/>
          <w:sz w:val="21"/>
          <w:szCs w:val="21"/>
          <w:highlight w:val="none"/>
        </w:rPr>
      </w:pPr>
      <w:bookmarkStart w:id="42" w:name="_Toc14891073"/>
      <w:bookmarkStart w:id="43" w:name="_Toc2803"/>
      <w:bookmarkStart w:id="44" w:name="_Toc30491"/>
      <w:r>
        <w:rPr>
          <w:rFonts w:hint="eastAsia" w:ascii="宋体" w:hAnsi="宋体" w:cs="宋体"/>
          <w:color w:val="auto"/>
          <w:sz w:val="21"/>
          <w:szCs w:val="21"/>
          <w:highlight w:val="none"/>
        </w:rPr>
        <w:t>六、响应文件的澄清、说明及补正</w:t>
      </w:r>
      <w:bookmarkEnd w:id="42"/>
      <w:bookmarkEnd w:id="43"/>
      <w:bookmarkEnd w:id="44"/>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19.澄清</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color w:val="auto"/>
          <w:kern w:val="0"/>
          <w:szCs w:val="21"/>
          <w:highlight w:val="none"/>
        </w:rPr>
      </w:pPr>
      <w:r>
        <w:rPr>
          <w:rFonts w:hint="eastAsia" w:ascii="宋体" w:hAnsi="宋体" w:cs="宋体"/>
          <w:b/>
          <w:color w:val="auto"/>
          <w:kern w:val="0"/>
          <w:szCs w:val="21"/>
          <w:highlight w:val="none"/>
        </w:rPr>
        <w:t>20.说明及补正</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kern w:val="0"/>
          <w:szCs w:val="21"/>
          <w:highlight w:val="none"/>
        </w:rPr>
        <w:t>20.3与谈判文件有重大偏离的响应文件将被拒绝。重大偏离指谈判总报价、谈判不含增值税总报价、谈判有效期、施工工期明显不能满足谈判文件的要求。这些偏离不允许在响应文件递交截止时间之后修正。</w:t>
      </w:r>
    </w:p>
    <w:p>
      <w:pPr>
        <w:pStyle w:val="4"/>
        <w:keepNext w:val="0"/>
        <w:keepLines w:val="0"/>
        <w:rPr>
          <w:rFonts w:ascii="宋体" w:hAnsi="宋体" w:cs="宋体"/>
          <w:color w:val="auto"/>
          <w:sz w:val="21"/>
          <w:szCs w:val="21"/>
          <w:highlight w:val="none"/>
        </w:rPr>
      </w:pPr>
      <w:bookmarkStart w:id="45" w:name="_Toc718"/>
      <w:bookmarkStart w:id="46" w:name="_Toc10329"/>
      <w:bookmarkStart w:id="47" w:name="_Toc14891074"/>
      <w:r>
        <w:rPr>
          <w:rFonts w:hint="eastAsia" w:ascii="宋体" w:hAnsi="宋体" w:cs="宋体"/>
          <w:color w:val="auto"/>
          <w:sz w:val="21"/>
          <w:szCs w:val="21"/>
          <w:highlight w:val="none"/>
        </w:rPr>
        <w:t>七、中选结果与授予合同</w:t>
      </w:r>
      <w:bookmarkEnd w:id="45"/>
      <w:bookmarkEnd w:id="46"/>
      <w:bookmarkEnd w:id="47"/>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21.中选信息的公布</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21.1中选单位确定后，采购单位应将结果信息在</w:t>
      </w:r>
      <w:r>
        <w:rPr>
          <w:rFonts w:hint="eastAsia" w:hAnsi="宋体" w:cs="宋体"/>
          <w:b/>
          <w:color w:val="auto"/>
          <w:highlight w:val="none"/>
        </w:rPr>
        <w:t>前附表</w:t>
      </w:r>
      <w:r>
        <w:rPr>
          <w:rFonts w:hint="eastAsia" w:hAnsi="宋体" w:cs="宋体"/>
          <w:color w:val="auto"/>
          <w:highlight w:val="none"/>
        </w:rPr>
        <w:t>指定的媒体上公布，</w:t>
      </w:r>
      <w:r>
        <w:rPr>
          <w:rFonts w:hint="eastAsia" w:hAnsi="宋体" w:cs="宋体"/>
          <w:b/>
          <w:bCs/>
          <w:color w:val="auto"/>
          <w:highlight w:val="none"/>
        </w:rPr>
        <w:t>公示期限为3个工作日</w:t>
      </w:r>
      <w:r>
        <w:rPr>
          <w:rFonts w:hint="eastAsia" w:hAnsi="宋体" w:cs="宋体"/>
          <w:color w:val="auto"/>
          <w:highlight w:val="none"/>
        </w:rPr>
        <w:t>。</w:t>
      </w:r>
    </w:p>
    <w:p>
      <w:pPr>
        <w:pStyle w:val="26"/>
        <w:adjustRightInd w:val="0"/>
        <w:snapToGrid w:val="0"/>
        <w:spacing w:line="360" w:lineRule="auto"/>
        <w:ind w:firstLine="422" w:firstLineChars="200"/>
        <w:rPr>
          <w:rFonts w:hAnsi="宋体" w:cs="宋体"/>
          <w:b/>
          <w:bCs/>
          <w:color w:val="auto"/>
          <w:highlight w:val="none"/>
        </w:rPr>
      </w:pPr>
      <w:r>
        <w:rPr>
          <w:rFonts w:hint="eastAsia" w:hAnsi="宋体" w:cs="宋体"/>
          <w:b/>
          <w:bCs/>
          <w:color w:val="auto"/>
          <w:highlight w:val="none"/>
        </w:rPr>
        <w:t>22.评审结果异议</w:t>
      </w:r>
    </w:p>
    <w:p>
      <w:pPr>
        <w:pStyle w:val="26"/>
        <w:adjustRightInd w:val="0"/>
        <w:snapToGrid w:val="0"/>
        <w:spacing w:line="360" w:lineRule="auto"/>
        <w:ind w:firstLine="420" w:firstLineChars="200"/>
        <w:rPr>
          <w:rFonts w:hAnsi="宋体" w:cs="宋体"/>
          <w:b/>
          <w:color w:val="auto"/>
          <w:highlight w:val="none"/>
        </w:rPr>
      </w:pPr>
      <w:r>
        <w:rPr>
          <w:rFonts w:hint="eastAsia" w:hAnsi="宋体" w:cs="宋体"/>
          <w:color w:val="auto"/>
          <w:kern w:val="0"/>
          <w:highlight w:val="none"/>
        </w:rPr>
        <w:t>22.1谈判单位对评审结果有异议的，应当在结果公示期间提出。</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23.中选通知</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24.签订合同</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24.1谈判文件、中选单位的响应文件及其补充的文件等均为签订合同的依据。</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24.2中选单位应当在中选通知书发出后及时与采购单位签订合同。</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24.3中选单位应当按照合同约定履行义务。</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25.纪律和监督</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25.1对采购单位的纪律要求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25.2对谈判单位的纪律要求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谈判单位不得相互串通或者与采购单位串通，不得向采购单位或者谈判评审小组成员行贿谋取中选，不得以他人名义参与谈判或者以其他方式弄虚作假骗取中选；谈判单位不得以任何方式干扰、影响评审工作。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25.3对</w:t>
      </w:r>
      <w:r>
        <w:rPr>
          <w:rFonts w:hint="eastAsia" w:ascii="宋体" w:hAnsi="宋体" w:cs="宋体"/>
          <w:b/>
          <w:color w:val="auto"/>
          <w:szCs w:val="21"/>
          <w:highlight w:val="none"/>
        </w:rPr>
        <w:t>谈判评审小组</w:t>
      </w:r>
      <w:r>
        <w:rPr>
          <w:rFonts w:hint="eastAsia" w:ascii="宋体" w:hAnsi="宋体" w:cs="宋体"/>
          <w:b/>
          <w:bCs/>
          <w:color w:val="auto"/>
          <w:szCs w:val="21"/>
          <w:highlight w:val="none"/>
        </w:rPr>
        <w:t>成员的纪律要求</w:t>
      </w:r>
    </w:p>
    <w:p>
      <w:pPr>
        <w:pStyle w:val="357"/>
        <w:ind w:firstLine="420" w:firstLineChars="200"/>
        <w:jc w:val="both"/>
        <w:rPr>
          <w:rFonts w:hAnsi="宋体" w:cs="宋体"/>
          <w:color w:val="auto"/>
          <w:sz w:val="21"/>
          <w:szCs w:val="21"/>
          <w:highlight w:val="none"/>
        </w:rPr>
      </w:pPr>
      <w:r>
        <w:rPr>
          <w:rFonts w:hint="eastAsia" w:hAnsi="宋体" w:cs="宋体"/>
          <w:color w:val="auto"/>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w:t>
      </w:r>
      <w:r>
        <w:rPr>
          <w:rFonts w:hint="eastAsia" w:hAnsi="宋体" w:cs="宋体"/>
          <w:b/>
          <w:bCs/>
          <w:color w:val="auto"/>
          <w:sz w:val="21"/>
          <w:szCs w:val="21"/>
          <w:highlight w:val="none"/>
        </w:rPr>
        <w:t>第</w:t>
      </w:r>
      <w:bookmarkStart w:id="48" w:name="page32"/>
      <w:bookmarkEnd w:id="48"/>
      <w:r>
        <w:rPr>
          <w:rFonts w:hint="eastAsia" w:hAnsi="宋体" w:cs="宋体"/>
          <w:b/>
          <w:bCs/>
          <w:color w:val="auto"/>
          <w:sz w:val="21"/>
          <w:szCs w:val="21"/>
          <w:highlight w:val="none"/>
        </w:rPr>
        <w:t>三章</w:t>
      </w:r>
      <w:r>
        <w:rPr>
          <w:rFonts w:hint="eastAsia" w:hAnsi="宋体" w:cs="宋体"/>
          <w:color w:val="auto"/>
          <w:sz w:val="21"/>
          <w:szCs w:val="21"/>
          <w:highlight w:val="none"/>
        </w:rPr>
        <w:t>“评审办法及标准”没有规定的评审因素和标准进行评审。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25.4对与评审活动有关的工作人员的纪律要求</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rPr>
          <w:rFonts w:ascii="宋体" w:hAnsi="宋体" w:cs="宋体"/>
          <w:color w:val="auto"/>
          <w:sz w:val="21"/>
          <w:szCs w:val="21"/>
          <w:highlight w:val="none"/>
        </w:rPr>
      </w:pPr>
      <w:bookmarkStart w:id="49" w:name="_Toc15972"/>
      <w:bookmarkStart w:id="50" w:name="_Toc14891075"/>
      <w:bookmarkStart w:id="51" w:name="_Toc20649"/>
      <w:r>
        <w:rPr>
          <w:rFonts w:hint="eastAsia" w:ascii="宋体" w:hAnsi="宋体" w:cs="宋体"/>
          <w:color w:val="auto"/>
          <w:sz w:val="21"/>
          <w:szCs w:val="21"/>
          <w:highlight w:val="none"/>
        </w:rPr>
        <w:t>八、其他</w:t>
      </w:r>
      <w:bookmarkEnd w:id="49"/>
      <w:bookmarkEnd w:id="50"/>
      <w:bookmarkEnd w:id="51"/>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26.处罚规定</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26.1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给予没收部分或全部谈判保证金，或（和）禁止其一定期限内（最多三年）参与采购人项目招标采购活动，并出具书面处理决定。除此之外，如谈判单位给采购人造成的损失超过谈判保证金数额的，谈判单位应当对超过部分给予赔偿。</w:t>
      </w:r>
      <w:r>
        <w:rPr>
          <w:rStyle w:val="56"/>
          <w:rFonts w:ascii="Times New Roman" w:hAnsi="Times New Roman" w:cs="Times New Roman"/>
          <w:color w:val="auto"/>
          <w:highlight w:val="none"/>
          <w:u w:val="none"/>
          <w:shd w:val="clear" w:color="auto" w:fill="FFFFFF"/>
        </w:rPr>
        <w:t>包括但不限于下列</w:t>
      </w:r>
      <w:r>
        <w:rPr>
          <w:rStyle w:val="56"/>
          <w:rFonts w:hint="eastAsia" w:ascii="Times New Roman" w:hAnsi="Times New Roman" w:cs="Times New Roman"/>
          <w:color w:val="auto"/>
          <w:highlight w:val="none"/>
          <w:u w:val="none"/>
          <w:shd w:val="clear" w:color="auto" w:fill="FFFFFF"/>
        </w:rPr>
        <w:t>情形：</w:t>
      </w:r>
    </w:p>
    <w:p>
      <w:pPr>
        <w:pStyle w:val="26"/>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谈判单位提出撤回或撤销或放弃中选资格或对报价提出实质性修改；</w:t>
      </w:r>
    </w:p>
    <w:p>
      <w:pPr>
        <w:pStyle w:val="26"/>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中选单位未能在规定期限内签订合同或不按报价结果签订合同；</w:t>
      </w:r>
    </w:p>
    <w:p>
      <w:pPr>
        <w:pStyle w:val="26"/>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中选单位未能在规定期限内提交履约保证金；</w:t>
      </w:r>
    </w:p>
    <w:p>
      <w:pPr>
        <w:pStyle w:val="26"/>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中选单位在合同订立过程中未能完全响应采购文件、清单、附件、合同要求以致合同无法订立的；</w:t>
      </w:r>
    </w:p>
    <w:p>
      <w:pPr>
        <w:pStyle w:val="26"/>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经查实谈判单位报价资料弄虚作假的；</w:t>
      </w:r>
    </w:p>
    <w:p>
      <w:pPr>
        <w:pStyle w:val="26"/>
        <w:numPr>
          <w:ilvl w:val="0"/>
          <w:numId w:val="17"/>
        </w:numPr>
        <w:adjustRightInd w:val="0"/>
        <w:snapToGrid w:val="0"/>
        <w:spacing w:line="360" w:lineRule="auto"/>
        <w:ind w:left="0" w:firstLine="420" w:firstLineChars="200"/>
        <w:rPr>
          <w:rFonts w:hAnsi="宋体" w:cs="宋体"/>
          <w:color w:val="auto"/>
          <w:highlight w:val="none"/>
        </w:rPr>
      </w:pPr>
      <w:r>
        <w:rPr>
          <w:rFonts w:hint="eastAsia" w:hAnsi="宋体" w:cs="宋体"/>
          <w:color w:val="auto"/>
          <w:highlight w:val="none"/>
        </w:rPr>
        <w:t>串通参与谈判相关行为的。如不同谈判单位的谈判保证金从同一账户转出。</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26.2谈判单位不允许有挂靠或转包的行为，采购单位或评审小组在任何时候发现谈判单位是挂靠或转包的，该谈判单位按照不合格供应商处理，采购单位有权取消其中选资格</w:t>
      </w:r>
      <w:r>
        <w:rPr>
          <w:rFonts w:hint="eastAsia" w:hAnsi="宋体" w:cs="宋体"/>
          <w:color w:val="auto"/>
          <w:szCs w:val="24"/>
          <w:highlight w:val="none"/>
          <w:lang w:bidi="ar"/>
        </w:rPr>
        <w:t>或（和）</w:t>
      </w:r>
      <w:r>
        <w:rPr>
          <w:rFonts w:hint="eastAsia" w:hAnsi="宋体" w:cs="宋体"/>
          <w:color w:val="auto"/>
          <w:highlight w:val="none"/>
        </w:rPr>
        <w:t>没收谈判保证金，已签订合同的，终止合同，没收履约保证金，并追究该谈判单位的有关法律责任。</w:t>
      </w:r>
    </w:p>
    <w:p>
      <w:pPr>
        <w:pStyle w:val="26"/>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26.3.谈判单位不允许有违背《湖南省建筑工程施工项目部和现场监理部关键岗位人员配备管理办法》（湘建建〔2020〕208号）规定的行为。采购单位或评审小组在任何时候发现谈判单位存在违背该规定行为的，该谈判单位按照不合格供应商处理，采购单位有权取消其中选资格</w:t>
      </w:r>
      <w:r>
        <w:rPr>
          <w:rFonts w:hint="eastAsia" w:hAnsi="宋体" w:cs="宋体"/>
          <w:color w:val="auto"/>
          <w:szCs w:val="24"/>
          <w:highlight w:val="none"/>
          <w:lang w:bidi="ar"/>
        </w:rPr>
        <w:t>或（和）</w:t>
      </w:r>
      <w:r>
        <w:rPr>
          <w:rFonts w:hint="eastAsia" w:hAnsi="宋体" w:cs="宋体"/>
          <w:color w:val="auto"/>
          <w:highlight w:val="none"/>
        </w:rPr>
        <w:t>没收谈判保证金，已签订合同的，终止合同，没收履约保证金，并追究该谈判单位的有关法律责任。</w:t>
      </w:r>
    </w:p>
    <w:p>
      <w:pPr>
        <w:pStyle w:val="26"/>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26.4法律法规中规定的其他情形。</w:t>
      </w:r>
    </w:p>
    <w:p>
      <w:pPr>
        <w:adjustRightInd w:val="0"/>
        <w:snapToGrid w:val="0"/>
        <w:spacing w:line="360" w:lineRule="auto"/>
        <w:ind w:left="964" w:hanging="964" w:hangingChars="300"/>
        <w:jc w:val="center"/>
        <w:rPr>
          <w:rFonts w:ascii="宋体" w:hAnsi="宋体" w:cs="宋体"/>
          <w:b/>
          <w:color w:val="auto"/>
          <w:sz w:val="32"/>
          <w:szCs w:val="32"/>
          <w:highlight w:val="none"/>
        </w:rPr>
        <w:sectPr>
          <w:pgSz w:w="11906" w:h="16838"/>
          <w:pgMar w:top="1440" w:right="1474" w:bottom="1440" w:left="1531" w:header="851" w:footer="850" w:gutter="0"/>
          <w:pgNumType w:fmt="decimal"/>
          <w:cols w:space="0" w:num="1"/>
          <w:docGrid w:linePitch="312" w:charSpace="0"/>
        </w:sectPr>
      </w:pPr>
    </w:p>
    <w:p>
      <w:pPr>
        <w:pStyle w:val="3"/>
        <w:keepNext w:val="0"/>
        <w:spacing w:line="360" w:lineRule="auto"/>
        <w:rPr>
          <w:rFonts w:ascii="宋体" w:hAnsi="宋体" w:cs="宋体"/>
          <w:bCs w:val="0"/>
          <w:color w:val="auto"/>
          <w:sz w:val="32"/>
          <w:szCs w:val="32"/>
          <w:highlight w:val="none"/>
        </w:rPr>
      </w:pPr>
      <w:bookmarkStart w:id="52" w:name="_Toc4275"/>
      <w:bookmarkStart w:id="53" w:name="_Toc22852"/>
      <w:bookmarkStart w:id="54" w:name="_Toc28427"/>
      <w:bookmarkStart w:id="55" w:name="_Toc10082"/>
      <w:bookmarkStart w:id="56" w:name="_Toc5567"/>
      <w:r>
        <w:rPr>
          <w:rFonts w:hint="eastAsia" w:ascii="宋体" w:hAnsi="宋体" w:cs="宋体"/>
          <w:bCs w:val="0"/>
          <w:color w:val="auto"/>
          <w:sz w:val="32"/>
          <w:szCs w:val="32"/>
          <w:highlight w:val="none"/>
        </w:rPr>
        <w:t>第三章  评审办法及标准</w:t>
      </w:r>
      <w:bookmarkEnd w:id="52"/>
      <w:bookmarkEnd w:id="53"/>
      <w:bookmarkEnd w:id="54"/>
      <w:bookmarkEnd w:id="55"/>
      <w:bookmarkEnd w:id="56"/>
    </w:p>
    <w:p>
      <w:pPr>
        <w:adjustRightInd w:val="0"/>
        <w:snapToGrid w:val="0"/>
        <w:spacing w:line="360" w:lineRule="auto"/>
        <w:ind w:left="632" w:hanging="632" w:hangingChars="300"/>
        <w:rPr>
          <w:rFonts w:ascii="宋体" w:hAnsi="宋体" w:cs="宋体"/>
          <w:b/>
          <w:color w:val="auto"/>
          <w:szCs w:val="21"/>
          <w:highlight w:val="none"/>
        </w:rPr>
      </w:pP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一、评审办法</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1.1本项目采用</w:t>
      </w:r>
      <w:r>
        <w:rPr>
          <w:rFonts w:hint="eastAsia" w:ascii="宋体" w:hAnsi="宋体" w:cs="宋体"/>
          <w:b/>
          <w:color w:val="auto"/>
          <w:szCs w:val="21"/>
          <w:highlight w:val="none"/>
          <w:lang w:eastAsia="zh-CN"/>
        </w:rPr>
        <w:t>综合评</w:t>
      </w:r>
      <w:r>
        <w:rPr>
          <w:rFonts w:hint="eastAsia" w:ascii="宋体" w:hAnsi="宋体" w:cs="宋体"/>
          <w:b/>
          <w:color w:val="auto"/>
          <w:szCs w:val="21"/>
          <w:highlight w:val="none"/>
          <w:lang w:val="en-US" w:eastAsia="zh-CN"/>
        </w:rPr>
        <w:t>估</w:t>
      </w:r>
      <w:r>
        <w:rPr>
          <w:rFonts w:hint="eastAsia" w:ascii="宋体" w:hAnsi="宋体" w:cs="宋体"/>
          <w:b/>
          <w:color w:val="auto"/>
          <w:szCs w:val="21"/>
          <w:highlight w:val="none"/>
          <w:lang w:eastAsia="zh-CN"/>
        </w:rPr>
        <w:t>法</w:t>
      </w:r>
      <w:r>
        <w:rPr>
          <w:rFonts w:hint="eastAsia" w:ascii="宋体" w:hAnsi="宋体" w:cs="宋体"/>
          <w:bCs/>
          <w:color w:val="auto"/>
          <w:szCs w:val="21"/>
          <w:highlight w:val="none"/>
        </w:rPr>
        <w:t>，商务20分，技术30分，报价50分，总分100分。</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二、谈判程序</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w:t>
      </w:r>
      <w:r>
        <w:rPr>
          <w:rFonts w:ascii="宋体" w:hAnsi="宋体" w:cs="宋体"/>
          <w:bCs/>
          <w:color w:val="auto"/>
          <w:szCs w:val="21"/>
          <w:highlight w:val="none"/>
        </w:rPr>
        <w:t>1</w:t>
      </w:r>
      <w:r>
        <w:rPr>
          <w:rFonts w:hint="eastAsia" w:ascii="宋体" w:hAnsi="宋体" w:cs="宋体"/>
          <w:bCs/>
          <w:color w:val="auto"/>
          <w:szCs w:val="21"/>
          <w:highlight w:val="none"/>
        </w:rPr>
        <w:t>采购单位在</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color w:val="auto"/>
          <w:szCs w:val="21"/>
          <w:highlight w:val="none"/>
        </w:rPr>
      </w:pPr>
      <w:r>
        <w:rPr>
          <w:rFonts w:ascii="宋体" w:hAnsi="宋体" w:cs="宋体"/>
          <w:bCs/>
          <w:color w:val="auto"/>
          <w:szCs w:val="21"/>
          <w:highlight w:val="none"/>
        </w:rPr>
        <w:t>2.2</w:t>
      </w:r>
      <w:r>
        <w:rPr>
          <w:rFonts w:hint="eastAsia" w:ascii="宋体" w:hAnsi="宋体" w:cs="宋体"/>
          <w:bCs/>
          <w:color w:val="auto"/>
          <w:szCs w:val="21"/>
          <w:highlight w:val="none"/>
        </w:rPr>
        <w:t>谈判程序分为：</w:t>
      </w:r>
      <w:r>
        <w:rPr>
          <w:rFonts w:hint="eastAsia" w:ascii="宋体" w:hAnsi="宋体" w:cs="宋体"/>
          <w:b/>
          <w:color w:val="auto"/>
          <w:szCs w:val="21"/>
          <w:highlight w:val="none"/>
        </w:rPr>
        <w:t>谈判验证阶段及谈判评审阶段。</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三、谈判验证阶段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谈判验证阶段分为身份验证和唱价。</w:t>
      </w:r>
    </w:p>
    <w:p>
      <w:pPr>
        <w:widowControl/>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3.1</w:t>
      </w:r>
      <w:r>
        <w:rPr>
          <w:rFonts w:hint="eastAsia" w:ascii="宋体" w:hAnsi="宋体" w:cs="宋体"/>
          <w:bCs/>
          <w:color w:val="auto"/>
          <w:szCs w:val="21"/>
          <w:highlight w:val="none"/>
        </w:rPr>
        <w:t>身份验证阶段</w:t>
      </w:r>
    </w:p>
    <w:p>
      <w:pPr>
        <w:widowControl/>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3.1.1</w:t>
      </w:r>
      <w:r>
        <w:rPr>
          <w:rFonts w:hint="eastAsia" w:ascii="宋体" w:hAnsi="宋体" w:cs="宋体"/>
          <w:bCs/>
          <w:color w:val="auto"/>
          <w:szCs w:val="21"/>
          <w:highlight w:val="none"/>
        </w:rPr>
        <w:t>采购单位按本文件</w:t>
      </w:r>
      <w:r>
        <w:rPr>
          <w:rFonts w:hint="eastAsia" w:ascii="宋体" w:hAnsi="宋体" w:cs="宋体"/>
          <w:b/>
          <w:color w:val="auto"/>
          <w:szCs w:val="21"/>
          <w:highlight w:val="none"/>
        </w:rPr>
        <w:t>前附表</w:t>
      </w:r>
      <w:r>
        <w:rPr>
          <w:rFonts w:hint="eastAsia" w:ascii="宋体" w:hAnsi="宋体" w:cs="宋体"/>
          <w:bCs/>
          <w:color w:val="auto"/>
          <w:szCs w:val="21"/>
          <w:highlight w:val="none"/>
        </w:rPr>
        <w:t>内规定的响应文件的谈判现场验证要求，对参与谈判的单位代表身份进行验证。</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bCs/>
          <w:color w:val="auto"/>
          <w:szCs w:val="21"/>
          <w:highlight w:val="none"/>
        </w:rPr>
        <w:t>3.1</w:t>
      </w:r>
      <w:r>
        <w:rPr>
          <w:rFonts w:hint="eastAsia" w:ascii="宋体" w:hAnsi="宋体" w:cs="宋体"/>
          <w:bCs/>
          <w:color w:val="auto"/>
          <w:szCs w:val="21"/>
          <w:highlight w:val="none"/>
        </w:rPr>
        <w:t>.2参与谈判的代表身份经验证不合格的，视为无效响应，</w:t>
      </w:r>
      <w:r>
        <w:rPr>
          <w:rFonts w:hint="eastAsia" w:ascii="宋体" w:hAnsi="宋体" w:cs="宋体"/>
          <w:color w:val="auto"/>
          <w:szCs w:val="21"/>
          <w:highlight w:val="none"/>
        </w:rPr>
        <w:t>不得进入下一阶段。</w:t>
      </w:r>
    </w:p>
    <w:p>
      <w:pPr>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3.2</w:t>
      </w:r>
      <w:r>
        <w:rPr>
          <w:rFonts w:hint="eastAsia" w:ascii="宋体" w:hAnsi="宋体" w:cs="宋体"/>
          <w:bCs/>
          <w:color w:val="auto"/>
          <w:szCs w:val="21"/>
          <w:highlight w:val="none"/>
        </w:rPr>
        <w:t>唱价阶段</w:t>
      </w:r>
    </w:p>
    <w:p>
      <w:pPr>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3.2</w:t>
      </w:r>
      <w:r>
        <w:rPr>
          <w:rFonts w:hint="eastAsia" w:ascii="宋体" w:hAnsi="宋体" w:cs="宋体"/>
          <w:bCs/>
          <w:color w:val="auto"/>
          <w:szCs w:val="21"/>
          <w:highlight w:val="none"/>
        </w:rPr>
        <w:t>.1身份验证结束后，由采购单位当众拆封经身份验证合格的谈判单位的谈判响应文件，宣读响应文件中《报价一览表》内容，并记录在案。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3.2</w:t>
      </w:r>
      <w:r>
        <w:rPr>
          <w:rFonts w:hint="eastAsia" w:ascii="宋体" w:hAnsi="宋体" w:cs="宋体"/>
          <w:bCs/>
          <w:color w:val="auto"/>
          <w:szCs w:val="21"/>
          <w:highlight w:val="none"/>
        </w:rPr>
        <w:t>.2谈判单位法定代表人或授权委托人、现场监督员、记录人等有关人员在唱价记录表上签字确认，谈判单位对本阶段有异议的应当场提出，采购单位人员当场作出答复，并记录在案，未提出的，视为无异议。</w:t>
      </w:r>
    </w:p>
    <w:p>
      <w:pPr>
        <w:adjustRightInd w:val="0"/>
        <w:snapToGrid w:val="0"/>
        <w:spacing w:line="360" w:lineRule="auto"/>
        <w:ind w:left="632" w:hanging="632" w:hangingChars="300"/>
        <w:rPr>
          <w:rFonts w:ascii="宋体" w:hAnsi="宋体" w:cs="宋体"/>
          <w:b/>
          <w:color w:val="auto"/>
          <w:szCs w:val="21"/>
          <w:highlight w:val="none"/>
        </w:rPr>
      </w:pPr>
      <w:r>
        <w:rPr>
          <w:rFonts w:hint="eastAsia" w:ascii="宋体" w:hAnsi="宋体" w:cs="宋体"/>
          <w:b/>
          <w:color w:val="auto"/>
          <w:szCs w:val="21"/>
          <w:highlight w:val="none"/>
        </w:rPr>
        <w:t>四、谈判评审阶段</w:t>
      </w:r>
    </w:p>
    <w:p>
      <w:pPr>
        <w:adjustRightInd w:val="0"/>
        <w:snapToGri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谈判评审阶段分为符合性审查、详细评审及推荐中选单位。</w:t>
      </w:r>
    </w:p>
    <w:p>
      <w:pPr>
        <w:adjustRightInd w:val="0"/>
        <w:snapToGrid w:val="0"/>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.1符合性审查阶段</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符合性审查分为对谈判单位资格的符合性审查及报价的符合性审查。</w:t>
      </w:r>
    </w:p>
    <w:p>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.1.1资格的符合性审查</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谈判评审</w:t>
      </w:r>
      <w:r>
        <w:rPr>
          <w:rFonts w:hint="eastAsia" w:ascii="宋体" w:hAnsi="宋体" w:cs="宋体"/>
          <w:bCs/>
          <w:color w:val="auto"/>
          <w:szCs w:val="21"/>
          <w:highlight w:val="none"/>
        </w:rPr>
        <w:t>小组</w:t>
      </w:r>
      <w:r>
        <w:rPr>
          <w:rFonts w:hint="eastAsia" w:ascii="宋体" w:hAnsi="宋体" w:cs="宋体"/>
          <w:color w:val="auto"/>
          <w:szCs w:val="21"/>
          <w:highlight w:val="none"/>
        </w:rPr>
        <w:t>根据本谈判文件</w:t>
      </w:r>
      <w:r>
        <w:rPr>
          <w:rFonts w:hint="eastAsia" w:ascii="宋体" w:hAnsi="宋体" w:cs="宋体"/>
          <w:b/>
          <w:color w:val="auto"/>
          <w:szCs w:val="21"/>
          <w:highlight w:val="none"/>
        </w:rPr>
        <w:t>前附表</w:t>
      </w:r>
      <w:r>
        <w:rPr>
          <w:rFonts w:hint="eastAsia" w:ascii="宋体" w:hAnsi="宋体" w:cs="宋体"/>
          <w:color w:val="auto"/>
          <w:szCs w:val="21"/>
          <w:highlight w:val="none"/>
        </w:rPr>
        <w:t>内规定的谈判单位资格要求，对谈判单位进行符合性审查，</w:t>
      </w:r>
      <w:r>
        <w:rPr>
          <w:rFonts w:hint="eastAsia" w:ascii="宋体" w:hAnsi="宋体"/>
          <w:szCs w:val="21"/>
          <w:highlight w:val="none"/>
        </w:rPr>
        <w:t>资格审查以</w:t>
      </w:r>
      <w:r>
        <w:rPr>
          <w:rFonts w:hint="eastAsia" w:ascii="宋体" w:hAnsi="宋体" w:cs="宋体"/>
          <w:szCs w:val="21"/>
          <w:highlight w:val="none"/>
        </w:rPr>
        <w:t>谈判</w:t>
      </w:r>
      <w:r>
        <w:rPr>
          <w:rFonts w:hint="eastAsia" w:ascii="宋体" w:hAnsi="宋体"/>
          <w:szCs w:val="21"/>
          <w:highlight w:val="none"/>
        </w:rPr>
        <w:t>单位递交的</w:t>
      </w:r>
      <w:r>
        <w:rPr>
          <w:rFonts w:hint="eastAsia" w:ascii="宋体" w:hAnsi="宋体"/>
          <w:b/>
          <w:bCs/>
          <w:szCs w:val="21"/>
          <w:highlight w:val="none"/>
        </w:rPr>
        <w:t>原件</w:t>
      </w:r>
      <w:r>
        <w:rPr>
          <w:rFonts w:hint="eastAsia" w:ascii="宋体" w:hAnsi="宋体"/>
          <w:b/>
          <w:bCs/>
          <w:szCs w:val="21"/>
          <w:highlight w:val="none"/>
          <w:lang w:eastAsia="zh-CN"/>
        </w:rPr>
        <w:t>或原件</w:t>
      </w:r>
      <w:r>
        <w:rPr>
          <w:rFonts w:hint="eastAsia" w:ascii="宋体" w:hAnsi="宋体"/>
          <w:b/>
          <w:bCs/>
          <w:szCs w:val="21"/>
          <w:highlight w:val="none"/>
        </w:rPr>
        <w:t>扫描件</w:t>
      </w:r>
      <w:r>
        <w:rPr>
          <w:rFonts w:hint="eastAsia" w:ascii="宋体" w:hAnsi="宋体"/>
          <w:b/>
          <w:szCs w:val="21"/>
          <w:highlight w:val="none"/>
          <w:lang w:eastAsia="zh-CN"/>
        </w:rPr>
        <w:t>打印版</w:t>
      </w:r>
      <w:r>
        <w:rPr>
          <w:rFonts w:hint="eastAsia" w:ascii="宋体" w:hAnsi="宋体"/>
          <w:szCs w:val="21"/>
          <w:highlight w:val="none"/>
        </w:rPr>
        <w:t>资料为准。</w:t>
      </w:r>
    </w:p>
    <w:p>
      <w:pPr>
        <w:adjustRightInd w:val="0"/>
        <w:snapToGrid w:val="0"/>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.1.2报价的符合性审查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highlight w:val="none"/>
        </w:rPr>
      </w:pPr>
      <w:r>
        <w:rPr>
          <w:rFonts w:hint="eastAsia" w:ascii="宋体" w:hAnsi="宋体" w:cs="宋体"/>
          <w:szCs w:val="21"/>
          <w:highlight w:val="none"/>
        </w:rPr>
        <w:t>谈判评审小组根据谈判文件的规定，对</w:t>
      </w:r>
      <w:r>
        <w:rPr>
          <w:rFonts w:hint="eastAsia" w:ascii="宋体" w:hAnsi="宋体" w:cs="宋体"/>
          <w:color w:val="auto"/>
          <w:szCs w:val="21"/>
          <w:highlight w:val="none"/>
        </w:rPr>
        <w:t>谈判单位提交的响应文件（报价部分）的</w:t>
      </w:r>
      <w:r>
        <w:rPr>
          <w:rFonts w:hint="eastAsia" w:ascii="宋体" w:hAnsi="宋体" w:cs="宋体"/>
          <w:szCs w:val="21"/>
          <w:highlight w:val="none"/>
        </w:rPr>
        <w:t>有效性、完整性等进行符合性审查。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cs="宋体"/>
          <w:szCs w:val="21"/>
          <w:highlight w:val="none"/>
        </w:rPr>
      </w:pPr>
      <w:r>
        <w:rPr>
          <w:rFonts w:hint="eastAsia" w:ascii="宋体" w:hAnsi="宋体" w:cs="宋体"/>
          <w:szCs w:val="21"/>
          <w:highlight w:val="none"/>
        </w:rPr>
        <w:t>4.1.3有下列情形之一的，为符合性审查不合格，视为无效响应，不进入下一阶段：</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b/>
          <w:bCs/>
          <w:szCs w:val="21"/>
          <w:highlight w:val="none"/>
        </w:rPr>
      </w:pPr>
      <w:r>
        <w:rPr>
          <w:rFonts w:hint="eastAsia" w:ascii="宋体" w:hAnsi="宋体"/>
          <w:szCs w:val="21"/>
          <w:highlight w:val="none"/>
        </w:rPr>
        <w:t>（1）未按照谈判文件规定要求签署盖章的。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（2）响应</w:t>
      </w:r>
      <w:r>
        <w:rPr>
          <w:rFonts w:hint="eastAsia" w:ascii="宋体" w:hAnsi="宋体" w:cs="宋体"/>
          <w:kern w:val="0"/>
          <w:szCs w:val="21"/>
          <w:highlight w:val="none"/>
        </w:rPr>
        <w:t>文件有效期不满足谈判文件规定的。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（3）不满足资格条件要求的。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（4）不满足用户需求书要求的。</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ascii="宋体" w:hAnsi="宋体"/>
          <w:szCs w:val="21"/>
          <w:highlight w:val="none"/>
        </w:rPr>
      </w:pPr>
      <w:r>
        <w:rPr>
          <w:rFonts w:hint="eastAsia" w:ascii="宋体" w:hAnsi="宋体"/>
          <w:szCs w:val="21"/>
          <w:highlight w:val="none"/>
        </w:rPr>
        <w:t>（5）</w:t>
      </w:r>
      <w:r>
        <w:rPr>
          <w:rFonts w:hint="eastAsia" w:ascii="宋体" w:hAnsi="宋体"/>
          <w:color w:val="auto"/>
          <w:szCs w:val="21"/>
          <w:highlight w:val="none"/>
        </w:rPr>
        <w:t>谈判</w:t>
      </w:r>
      <w:r>
        <w:rPr>
          <w:rFonts w:hint="eastAsia" w:ascii="宋体" w:hAnsi="宋体" w:eastAsia="宋体" w:cs="宋体"/>
          <w:color w:val="auto"/>
          <w:highlight w:val="none"/>
          <w:lang w:val="en-US" w:eastAsia="zh-CN"/>
        </w:rPr>
        <w:t>总报价</w:t>
      </w:r>
      <w:r>
        <w:rPr>
          <w:rFonts w:hint="eastAsia" w:ascii="宋体" w:hAnsi="宋体" w:eastAsia="宋体" w:cs="宋体"/>
          <w:color w:val="auto"/>
          <w:sz w:val="21"/>
          <w:szCs w:val="21"/>
          <w:highlight w:val="none"/>
        </w:rPr>
        <w:t>超过</w:t>
      </w:r>
      <w:r>
        <w:rPr>
          <w:rFonts w:hint="eastAsia" w:ascii="宋体" w:hAnsi="宋体" w:cs="宋体"/>
          <w:strike w:val="0"/>
          <w:dstrike w:val="0"/>
          <w:color w:val="auto"/>
          <w:sz w:val="21"/>
          <w:szCs w:val="21"/>
          <w:highlight w:val="none"/>
          <w:lang w:eastAsia="zh-CN"/>
        </w:rPr>
        <w:t>谈判最高限价</w:t>
      </w:r>
      <w:r>
        <w:rPr>
          <w:rFonts w:hint="eastAsia" w:ascii="宋体" w:hAnsi="宋体" w:cs="宋体"/>
          <w:strike w:val="0"/>
          <w:dstrike w:val="0"/>
          <w:color w:val="auto"/>
          <w:sz w:val="21"/>
          <w:szCs w:val="21"/>
          <w:highlight w:val="none"/>
          <w:lang w:val="en-US" w:eastAsia="zh-CN"/>
        </w:rPr>
        <w:t>的。</w:t>
      </w:r>
    </w:p>
    <w:p>
      <w:pPr>
        <w:widowControl/>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（6）递交两份或多份内容不同的报价文件，或在一份报价文件中对同一项目报有两个或多个报价，且未声明哪一个有效的，谈判文件另有要求的除外。</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4.1.4算术错误修正</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谈判评审小组检查谈判单位的报价是否有算术错误，算术性错误分析和修正按以下原则进行，修正的价格经谈判单位进行确认后具有约束力。谈判单位不接受修正价格的，应当予以否决。</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（1）响应文件中的大写金额与小写金额不一致的，以大写金额为准。</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（3）总报价为各分项报价金额之和，总报价与分项报价的合价不一致的，应以各分项合价累计数为准，修正总报价。</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4.2</w:t>
      </w:r>
      <w:r>
        <w:rPr>
          <w:rFonts w:hint="eastAsia" w:ascii="宋体" w:hAnsi="宋体" w:cs="宋体"/>
          <w:b/>
          <w:bCs/>
          <w:color w:val="auto"/>
          <w:szCs w:val="21"/>
          <w:highlight w:val="none"/>
        </w:rPr>
        <w:t>详细评审阶段</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kern w:val="0"/>
          <w:szCs w:val="21"/>
          <w:highlight w:val="none"/>
        </w:rPr>
        <w:t>谈判评审小组应按以下</w:t>
      </w:r>
      <w:r>
        <w:rPr>
          <w:rFonts w:hint="eastAsia" w:ascii="宋体" w:hAnsi="宋体" w:cs="宋体"/>
          <w:color w:val="auto"/>
          <w:szCs w:val="21"/>
          <w:highlight w:val="none"/>
          <w:shd w:val="clear" w:color="auto" w:fill="FFFFFF"/>
        </w:rPr>
        <w:t>规定的评审因素和标准</w:t>
      </w:r>
      <w:r>
        <w:rPr>
          <w:rFonts w:hint="eastAsia" w:ascii="宋体" w:hAnsi="宋体" w:cs="宋体"/>
          <w:color w:val="auto"/>
          <w:kern w:val="0"/>
          <w:szCs w:val="21"/>
          <w:highlight w:val="none"/>
        </w:rPr>
        <w:t>对经符合性审查合格的谈判单位进行详细评审及</w:t>
      </w:r>
      <w:r>
        <w:rPr>
          <w:rFonts w:hint="eastAsia" w:ascii="宋体" w:hAnsi="宋体" w:cs="宋体"/>
          <w:color w:val="auto"/>
          <w:szCs w:val="21"/>
          <w:highlight w:val="none"/>
          <w:shd w:val="clear" w:color="auto" w:fill="FFFFFF"/>
        </w:rPr>
        <w:t>计分，并计算出评审总得分。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.1详细评审的程序</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（1）</w:t>
      </w:r>
      <w:r>
        <w:rPr>
          <w:rFonts w:hint="eastAsia" w:ascii="宋体" w:hAnsi="宋体" w:cs="宋体"/>
          <w:bCs/>
          <w:color w:val="auto"/>
          <w:szCs w:val="21"/>
          <w:highlight w:val="none"/>
          <w:shd w:val="clear" w:color="auto" w:fill="FFFFFF"/>
        </w:rPr>
        <w:t>商务</w:t>
      </w:r>
      <w:r>
        <w:rPr>
          <w:rFonts w:hint="eastAsia" w:ascii="宋体" w:hAnsi="宋体" w:cs="宋体"/>
          <w:color w:val="auto"/>
          <w:szCs w:val="21"/>
          <w:highlight w:val="none"/>
          <w:shd w:val="clear" w:color="auto" w:fill="FFFFFF"/>
        </w:rPr>
        <w:t>评审（见</w:t>
      </w:r>
      <w:r>
        <w:rPr>
          <w:rFonts w:hint="eastAsia" w:ascii="宋体" w:hAnsi="宋体" w:cs="宋体"/>
          <w:bCs/>
          <w:color w:val="auto"/>
          <w:szCs w:val="21"/>
          <w:highlight w:val="none"/>
          <w:shd w:val="clear" w:color="auto" w:fill="FFFFFF"/>
        </w:rPr>
        <w:t>附表</w:t>
      </w:r>
      <w:r>
        <w:rPr>
          <w:rFonts w:hint="eastAsia" w:ascii="宋体" w:hAnsi="宋体" w:cs="宋体"/>
          <w:bCs/>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（2）</w:t>
      </w:r>
      <w:r>
        <w:rPr>
          <w:rFonts w:hint="eastAsia" w:ascii="宋体" w:hAnsi="宋体" w:cs="宋体"/>
          <w:bCs/>
          <w:color w:val="auto"/>
          <w:szCs w:val="21"/>
          <w:highlight w:val="none"/>
          <w:shd w:val="clear" w:color="auto" w:fill="FFFFFF"/>
        </w:rPr>
        <w:t>技术</w:t>
      </w:r>
      <w:r>
        <w:rPr>
          <w:rFonts w:hint="eastAsia" w:ascii="宋体" w:hAnsi="宋体" w:cs="宋体"/>
          <w:color w:val="auto"/>
          <w:szCs w:val="21"/>
          <w:highlight w:val="none"/>
          <w:shd w:val="clear" w:color="auto" w:fill="FFFFFF"/>
        </w:rPr>
        <w:t>评审（见</w:t>
      </w:r>
      <w:r>
        <w:rPr>
          <w:rFonts w:hint="eastAsia" w:ascii="宋体" w:hAnsi="宋体" w:cs="宋体"/>
          <w:bCs/>
          <w:color w:val="auto"/>
          <w:szCs w:val="21"/>
          <w:highlight w:val="none"/>
          <w:shd w:val="clear" w:color="auto" w:fill="FFFFFF"/>
        </w:rPr>
        <w:t>附表</w:t>
      </w:r>
      <w:r>
        <w:rPr>
          <w:rFonts w:hint="eastAsia" w:ascii="宋体" w:hAnsi="宋体" w:cs="宋体"/>
          <w:bCs/>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谈判</w:t>
      </w:r>
      <w:r>
        <w:rPr>
          <w:rFonts w:hint="eastAsia" w:ascii="宋体" w:hAnsi="宋体" w:eastAsia="宋体" w:cs="宋体"/>
          <w:color w:val="auto"/>
          <w:szCs w:val="21"/>
          <w:highlight w:val="none"/>
        </w:rPr>
        <w:t>报价评审（见附表</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（4）</w:t>
      </w:r>
      <w:r>
        <w:rPr>
          <w:rFonts w:hint="eastAsia" w:ascii="宋体" w:hAnsi="宋体" w:cs="宋体"/>
          <w:color w:val="auto"/>
          <w:szCs w:val="21"/>
          <w:highlight w:val="none"/>
          <w:shd w:val="clear" w:color="auto" w:fill="FFFFFF"/>
        </w:rPr>
        <w:t>计算各谈判单位的综合得分；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rPr>
        <w:t>（5）</w:t>
      </w:r>
      <w:r>
        <w:rPr>
          <w:rFonts w:hint="eastAsia" w:ascii="宋体" w:hAnsi="宋体" w:cs="宋体"/>
          <w:color w:val="auto"/>
          <w:szCs w:val="21"/>
          <w:highlight w:val="none"/>
          <w:shd w:val="clear" w:color="auto" w:fill="FFFFFF"/>
        </w:rPr>
        <w:t>按综合得分从高至低确定谈判单位的排序。</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4.2.</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评审项目的分值没有区间的由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集体评议评分；评审项目的分值有区间的由</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集体评议后，</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成员独自评分</w:t>
      </w:r>
      <w:r>
        <w:rPr>
          <w:rFonts w:hint="eastAsia" w:ascii="宋体" w:hAnsi="宋体" w:cs="宋体"/>
          <w:color w:val="auto"/>
          <w:szCs w:val="21"/>
          <w:highlight w:val="none"/>
          <w:shd w:val="clear" w:color="auto" w:fill="FFFFFF"/>
          <w:lang w:eastAsia="zh-CN"/>
        </w:rPr>
        <w:t>，得分为</w:t>
      </w:r>
      <w:r>
        <w:rPr>
          <w:rFonts w:hint="eastAsia" w:ascii="宋体" w:hAnsi="宋体" w:cs="宋体"/>
          <w:color w:val="auto"/>
          <w:kern w:val="0"/>
          <w:szCs w:val="21"/>
          <w:highlight w:val="none"/>
        </w:rPr>
        <w:t>谈判评审</w:t>
      </w:r>
      <w:r>
        <w:rPr>
          <w:rFonts w:hint="eastAsia" w:ascii="宋体" w:hAnsi="宋体" w:cs="宋体"/>
          <w:color w:val="auto"/>
          <w:kern w:val="0"/>
          <w:szCs w:val="21"/>
          <w:highlight w:val="none"/>
          <w:lang w:eastAsia="zh-CN"/>
        </w:rPr>
        <w:t>小组成员的算术平均值</w:t>
      </w:r>
      <w:r>
        <w:rPr>
          <w:rFonts w:hint="eastAsia" w:ascii="宋体" w:hAnsi="宋体" w:cs="宋体"/>
          <w:color w:val="auto"/>
          <w:szCs w:val="21"/>
          <w:highlight w:val="none"/>
          <w:shd w:val="clear" w:color="auto" w:fill="FFFFFF"/>
        </w:rPr>
        <w:t>。有下列情况之一者，该评标因素的评审计分为无效分：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（1）单项评审计分高出规定最高分或低于规定最低分的；</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（2）同一项目有两个或两个以上评审计分的；</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（3）评审过程中</w:t>
      </w:r>
      <w:r>
        <w:rPr>
          <w:rFonts w:hint="eastAsia" w:ascii="宋体" w:hAnsi="宋体" w:cs="宋体"/>
          <w:color w:val="auto"/>
          <w:kern w:val="0"/>
          <w:szCs w:val="21"/>
          <w:highlight w:val="none"/>
        </w:rPr>
        <w:t>谈判评审小组</w:t>
      </w:r>
      <w:r>
        <w:rPr>
          <w:rFonts w:hint="eastAsia" w:ascii="宋体" w:hAnsi="宋体" w:cs="宋体"/>
          <w:color w:val="auto"/>
          <w:szCs w:val="21"/>
          <w:highlight w:val="none"/>
          <w:shd w:val="clear" w:color="auto" w:fill="FFFFFF"/>
        </w:rPr>
        <w:t>成员存在讨论、修改、参照调整已评审分数的情形的；</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（4）如有采购单位评委，采购单位评委在评审过程中发表倾向性意见，或存在干扰其他谈判小组成员独立评审权的行为。</w:t>
      </w:r>
    </w:p>
    <w:p>
      <w:pPr>
        <w:pStyle w:val="2"/>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评审因素各部分的分值为：</w:t>
      </w:r>
    </w:p>
    <w:tbl>
      <w:tblPr>
        <w:tblStyle w:val="47"/>
        <w:tblpPr w:leftFromText="180" w:rightFromText="180" w:vertAnchor="text" w:horzAnchor="page" w:tblpXSpec="center" w:tblpY="11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4852"/>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42"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序号</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项目</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42" w:type="dxa"/>
            <w:vAlign w:val="center"/>
          </w:tcPr>
          <w:p>
            <w:pPr>
              <w:jc w:val="center"/>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1</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商务</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42" w:type="dxa"/>
            <w:vAlign w:val="center"/>
          </w:tcPr>
          <w:p>
            <w:pPr>
              <w:jc w:val="center"/>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2</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技术</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42" w:type="dxa"/>
            <w:vAlign w:val="center"/>
          </w:tcPr>
          <w:p>
            <w:pPr>
              <w:jc w:val="center"/>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3</w:t>
            </w:r>
          </w:p>
        </w:tc>
        <w:tc>
          <w:tcPr>
            <w:tcW w:w="4949"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报价</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191" w:type="dxa"/>
            <w:gridSpan w:val="2"/>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合计</w:t>
            </w:r>
          </w:p>
        </w:tc>
        <w:tc>
          <w:tcPr>
            <w:tcW w:w="3096" w:type="dxa"/>
            <w:vAlign w:val="center"/>
          </w:tcPr>
          <w:p>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100</w:t>
            </w:r>
          </w:p>
        </w:tc>
      </w:tr>
    </w:tbl>
    <w:p>
      <w:pPr>
        <w:rPr>
          <w:color w:val="auto"/>
          <w:highlight w:val="none"/>
        </w:rPr>
      </w:pP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谈判单位各单项得分之和即为谈判单位评审得分。</w:t>
      </w:r>
    </w:p>
    <w:p>
      <w:pPr>
        <w:adjustRightInd w:val="0"/>
        <w:snapToGrid w:val="0"/>
        <w:spacing w:line="360" w:lineRule="auto"/>
        <w:ind w:firstLine="420" w:firstLineChars="200"/>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2</w:t>
      </w:r>
      <w:r>
        <w:rPr>
          <w:rFonts w:hint="eastAsia" w:ascii="宋体" w:hAnsi="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rPr>
        <w:t>谈判评审小组应当根据详细评审的结果对谈判单位进行排序，</w:t>
      </w:r>
      <w:r>
        <w:rPr>
          <w:rFonts w:hint="eastAsia" w:ascii="宋体" w:hAnsi="宋体" w:cs="宋体"/>
          <w:szCs w:val="21"/>
          <w:highlight w:val="none"/>
          <w:shd w:val="clear" w:color="auto" w:fill="FFFFFF"/>
        </w:rPr>
        <w:t>若出现谈判单位评审综合得分相同的情况，则依次按照其</w:t>
      </w:r>
      <w:r>
        <w:rPr>
          <w:rFonts w:hint="eastAsia"/>
          <w:szCs w:val="21"/>
          <w:highlight w:val="none"/>
        </w:rPr>
        <w:t>不含</w:t>
      </w:r>
      <w:r>
        <w:rPr>
          <w:rFonts w:hint="eastAsia" w:ascii="宋体" w:hAnsi="宋体" w:cs="宋体"/>
          <w:szCs w:val="21"/>
          <w:highlight w:val="none"/>
          <w:shd w:val="clear" w:color="auto" w:fill="FFFFFF"/>
        </w:rPr>
        <w:t>增值税总报价由低至高排序、技术部分得分由高至低排序、评委票决的顺序确定成交候选人排序。</w:t>
      </w:r>
    </w:p>
    <w:p>
      <w:pPr>
        <w:adjustRightInd w:val="0"/>
        <w:snapToGrid w:val="0"/>
        <w:spacing w:line="360" w:lineRule="auto"/>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5.推荐中选单位</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5.1</w:t>
      </w:r>
      <w:r>
        <w:rPr>
          <w:rStyle w:val="56"/>
          <w:rFonts w:hint="eastAsia" w:ascii="宋体" w:hAnsi="宋体"/>
          <w:color w:val="auto"/>
          <w:highlight w:val="none"/>
          <w:u w:val="none"/>
          <w:shd w:val="clear" w:color="auto" w:fill="FFFFFF"/>
        </w:rPr>
        <w:t>谈判评审小组按照综合得分由高到低的顺序推荐不超过3名中选候选人，并对排名第一的中选候选人进行公示。经公示无异议后，确定排名第一的中选候选人为中选人。</w:t>
      </w:r>
    </w:p>
    <w:p>
      <w:pPr>
        <w:widowControl/>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w:t>
      </w:r>
      <w:r>
        <w:rPr>
          <w:rStyle w:val="56"/>
          <w:rFonts w:ascii="宋体" w:hAnsi="宋体"/>
          <w:color w:val="auto"/>
          <w:highlight w:val="none"/>
          <w:u w:val="none"/>
          <w:shd w:val="clear" w:color="auto" w:fill="FFFFFF"/>
        </w:rPr>
        <w:t>2</w:t>
      </w:r>
      <w:r>
        <w:rPr>
          <w:rFonts w:hint="eastAsia" w:ascii="宋体" w:hAnsi="宋体" w:cs="宋体"/>
          <w:color w:val="auto"/>
          <w:kern w:val="0"/>
          <w:szCs w:val="21"/>
          <w:highlight w:val="none"/>
        </w:rPr>
        <w:t>排名第一的中选候选人中选后放弃中选、因不可抗力不能履行合同，或者被查实存在影响中选结果的违法行为等情形，不符合中选条件的，采购单位可以按照谈判评审小组提出的中选候选人名单排序依次确定其他中选候选人为中选人，也可以重新采购。</w:t>
      </w:r>
    </w:p>
    <w:p>
      <w:pPr>
        <w:pStyle w:val="2"/>
        <w:rPr>
          <w:color w:val="auto"/>
          <w:highlight w:val="none"/>
        </w:rPr>
      </w:pPr>
    </w:p>
    <w:p>
      <w:pPr>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附表</w:t>
      </w:r>
      <w:r>
        <w:rPr>
          <w:rFonts w:hint="eastAsia" w:ascii="黑体" w:hAnsi="黑体" w:eastAsia="黑体" w:cs="黑体"/>
          <w:color w:val="auto"/>
          <w:sz w:val="28"/>
          <w:szCs w:val="28"/>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b/>
          <w:color w:val="auto"/>
          <w:sz w:val="28"/>
          <w:szCs w:val="28"/>
          <w:highlight w:val="none"/>
        </w:rPr>
      </w:pPr>
      <w:r>
        <w:rPr>
          <w:rFonts w:hint="eastAsia" w:ascii="宋体" w:hAnsi="宋体"/>
          <w:b/>
          <w:color w:val="auto"/>
          <w:sz w:val="28"/>
          <w:szCs w:val="28"/>
          <w:highlight w:val="none"/>
        </w:rPr>
        <w:t>商务详细评分标准表（</w:t>
      </w:r>
      <w:r>
        <w:rPr>
          <w:rFonts w:hint="eastAsia" w:ascii="宋体" w:hAnsi="宋体" w:cs="宋体"/>
          <w:b/>
          <w:color w:val="auto"/>
          <w:sz w:val="28"/>
          <w:szCs w:val="28"/>
          <w:highlight w:val="none"/>
        </w:rPr>
        <w:t>总分</w:t>
      </w:r>
      <w:r>
        <w:rPr>
          <w:rFonts w:hint="eastAsia" w:ascii="宋体" w:hAnsi="宋体" w:cs="宋体"/>
          <w:b/>
          <w:color w:val="auto"/>
          <w:sz w:val="28"/>
          <w:szCs w:val="28"/>
          <w:highlight w:val="none"/>
          <w:lang w:val="en-US" w:eastAsia="zh-CN"/>
        </w:rPr>
        <w:t>10</w:t>
      </w:r>
      <w:r>
        <w:rPr>
          <w:rFonts w:ascii="宋体" w:hAnsi="宋体" w:cs="宋体"/>
          <w:b/>
          <w:color w:val="auto"/>
          <w:sz w:val="28"/>
          <w:szCs w:val="28"/>
          <w:highlight w:val="none"/>
        </w:rPr>
        <w:t>0</w:t>
      </w:r>
      <w:r>
        <w:rPr>
          <w:rFonts w:hint="eastAsia" w:ascii="宋体" w:hAnsi="宋体" w:cs="宋体"/>
          <w:b/>
          <w:color w:val="auto"/>
          <w:sz w:val="28"/>
          <w:szCs w:val="28"/>
          <w:highlight w:val="none"/>
        </w:rPr>
        <w:t>分</w:t>
      </w:r>
      <w:r>
        <w:rPr>
          <w:rFonts w:hint="eastAsia" w:ascii="宋体" w:hAnsi="宋体" w:cs="宋体"/>
          <w:b/>
          <w:color w:val="auto"/>
          <w:sz w:val="28"/>
          <w:szCs w:val="28"/>
          <w:highlight w:val="none"/>
          <w:lang w:eastAsia="zh-CN"/>
        </w:rPr>
        <w:t>，权重</w:t>
      </w:r>
      <w:r>
        <w:rPr>
          <w:rFonts w:hint="eastAsia" w:ascii="宋体" w:hAnsi="宋体" w:cs="宋体"/>
          <w:b/>
          <w:color w:val="auto"/>
          <w:sz w:val="28"/>
          <w:szCs w:val="28"/>
          <w:highlight w:val="none"/>
          <w:lang w:val="en-US" w:eastAsia="zh-CN"/>
        </w:rPr>
        <w:t>20%</w:t>
      </w:r>
      <w:r>
        <w:rPr>
          <w:rFonts w:hint="eastAsia" w:ascii="宋体" w:hAnsi="宋体"/>
          <w:b/>
          <w:color w:val="auto"/>
          <w:sz w:val="28"/>
          <w:szCs w:val="28"/>
          <w:highlight w:val="none"/>
        </w:rPr>
        <w:t>）</w:t>
      </w:r>
    </w:p>
    <w:tbl>
      <w:tblPr>
        <w:tblStyle w:val="47"/>
        <w:tblpPr w:leftFromText="180" w:rightFromText="180" w:vertAnchor="text" w:horzAnchor="page" w:tblpXSpec="center" w:tblpY="78"/>
        <w:tblOverlap w:val="never"/>
        <w:tblW w:w="932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47"/>
        <w:gridCol w:w="1731"/>
        <w:gridCol w:w="66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 w:hRule="exact"/>
          <w:jc w:val="center"/>
        </w:trPr>
        <w:tc>
          <w:tcPr>
            <w:tcW w:w="947" w:type="dxa"/>
            <w:tcBorders>
              <w:tl2br w:val="nil"/>
              <w:tr2bl w:val="nil"/>
            </w:tcBorders>
            <w:vAlign w:val="center"/>
          </w:tcPr>
          <w:p>
            <w:pPr>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731" w:type="dxa"/>
            <w:tcBorders>
              <w:tl2br w:val="nil"/>
              <w:tr2bl w:val="nil"/>
            </w:tcBorders>
            <w:vAlign w:val="center"/>
          </w:tcPr>
          <w:p>
            <w:pPr>
              <w:spacing w:line="360" w:lineRule="exact"/>
              <w:ind w:left="628" w:leftChars="1" w:hanging="626" w:hangingChars="297"/>
              <w:jc w:val="center"/>
              <w:rPr>
                <w:rFonts w:ascii="宋体" w:hAnsi="宋体" w:cs="宋体"/>
                <w:b/>
                <w:bCs/>
                <w:color w:val="auto"/>
                <w:szCs w:val="21"/>
                <w:highlight w:val="none"/>
              </w:rPr>
            </w:pPr>
            <w:r>
              <w:rPr>
                <w:rFonts w:hint="eastAsia" w:ascii="宋体" w:hAnsi="宋体" w:cs="宋体"/>
                <w:b/>
                <w:bCs/>
                <w:color w:val="auto"/>
                <w:szCs w:val="21"/>
                <w:highlight w:val="none"/>
              </w:rPr>
              <w:t>评分因素</w:t>
            </w:r>
            <w:r>
              <w:rPr>
                <w:rFonts w:hint="eastAsia" w:ascii="宋体" w:hAnsi="宋体" w:cs="宋体"/>
                <w:b/>
                <w:bCs/>
                <w:highlight w:val="none"/>
              </w:rPr>
              <w:t>分值</w:t>
            </w:r>
          </w:p>
        </w:tc>
        <w:tc>
          <w:tcPr>
            <w:tcW w:w="6646" w:type="dxa"/>
            <w:tcBorders>
              <w:tl2br w:val="nil"/>
              <w:tr2bl w:val="nil"/>
            </w:tcBorders>
            <w:vAlign w:val="center"/>
          </w:tcPr>
          <w:p>
            <w:pPr>
              <w:spacing w:line="360" w:lineRule="exact"/>
              <w:ind w:left="628" w:leftChars="1" w:hanging="626" w:hangingChars="297"/>
              <w:jc w:val="center"/>
              <w:rPr>
                <w:rFonts w:ascii="宋体" w:hAnsi="宋体" w:cs="宋体"/>
                <w:b/>
                <w:bCs/>
                <w:color w:val="auto"/>
                <w:szCs w:val="21"/>
                <w:highlight w:val="none"/>
              </w:rPr>
            </w:pPr>
            <w:r>
              <w:rPr>
                <w:rFonts w:hint="eastAsia" w:ascii="宋体" w:hAnsi="宋体" w:cs="宋体"/>
                <w:b/>
                <w:bCs/>
                <w:color w:val="auto"/>
                <w:szCs w:val="21"/>
                <w:highlight w:val="none"/>
              </w:rPr>
              <w:t>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29" w:hRule="exact"/>
          <w:jc w:val="center"/>
        </w:trPr>
        <w:tc>
          <w:tcPr>
            <w:tcW w:w="947" w:type="dxa"/>
            <w:tcBorders>
              <w:tl2br w:val="nil"/>
              <w:tr2bl w:val="nil"/>
            </w:tcBorders>
            <w:vAlign w:val="center"/>
          </w:tcPr>
          <w:p>
            <w:pPr>
              <w:spacing w:line="360" w:lineRule="exact"/>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731" w:type="dxa"/>
            <w:tcBorders>
              <w:tl2br w:val="nil"/>
              <w:tr2bl w:val="nil"/>
            </w:tcBorders>
            <w:vAlign w:val="center"/>
          </w:tcPr>
          <w:p>
            <w:pPr>
              <w:spacing w:line="360" w:lineRule="exact"/>
              <w:jc w:val="center"/>
              <w:rPr>
                <w:rFonts w:hint="eastAsia"/>
                <w:highlight w:val="none"/>
              </w:rPr>
            </w:pPr>
            <w:r>
              <w:rPr>
                <w:rFonts w:hint="eastAsia"/>
                <w:highlight w:val="none"/>
              </w:rPr>
              <w:t>响应文件的编制</w:t>
            </w:r>
          </w:p>
          <w:p>
            <w:pPr>
              <w:pStyle w:val="2"/>
              <w:ind w:left="0" w:leftChars="0" w:firstLine="0" w:firstLineChars="0"/>
              <w:jc w:val="center"/>
              <w:rPr>
                <w:rFonts w:hint="eastAsia" w:eastAsia="宋体"/>
                <w:highlight w:val="none"/>
                <w:lang w:val="en-US" w:eastAsia="zh-CN"/>
              </w:rPr>
            </w:pPr>
            <w:r>
              <w:rPr>
                <w:rFonts w:hint="eastAsia"/>
                <w:highlight w:val="none"/>
                <w:lang w:val="en-US" w:eastAsia="zh-CN"/>
              </w:rPr>
              <w:t>（15分）</w:t>
            </w:r>
          </w:p>
        </w:tc>
        <w:tc>
          <w:tcPr>
            <w:tcW w:w="6646" w:type="dxa"/>
            <w:tcBorders>
              <w:tl2br w:val="nil"/>
              <w:tr2bl w:val="nil"/>
            </w:tcBorders>
            <w:vAlign w:val="center"/>
          </w:tcPr>
          <w:p>
            <w:pPr>
              <w:spacing w:line="360" w:lineRule="exact"/>
              <w:rPr>
                <w:rFonts w:hint="eastAsia" w:ascii="宋体" w:hAnsi="宋体" w:eastAsiaTheme="minorEastAsia"/>
                <w:color w:val="auto"/>
                <w:szCs w:val="21"/>
                <w:highlight w:val="none"/>
                <w:lang w:eastAsia="zh-CN"/>
              </w:rPr>
            </w:pPr>
            <w:r>
              <w:rPr>
                <w:rFonts w:hint="eastAsia" w:ascii="宋体" w:hAnsi="宋体"/>
                <w:color w:val="auto"/>
                <w:szCs w:val="21"/>
                <w:highlight w:val="none"/>
                <w:lang w:eastAsia="zh-CN"/>
              </w:rPr>
              <w:t>①</w:t>
            </w:r>
            <w:r>
              <w:rPr>
                <w:rFonts w:hint="eastAsia" w:ascii="宋体" w:hAnsi="宋体"/>
                <w:color w:val="auto"/>
                <w:szCs w:val="21"/>
                <w:highlight w:val="none"/>
              </w:rPr>
              <w:t>响应文件的编制完全满足</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并响应的</w:t>
            </w:r>
            <w:r>
              <w:rPr>
                <w:rFonts w:hint="eastAsia" w:ascii="宋体" w:hAnsi="宋体"/>
                <w:color w:val="auto"/>
                <w:szCs w:val="21"/>
                <w:highlight w:val="none"/>
                <w:lang w:eastAsia="zh-CN"/>
              </w:rPr>
              <w:t>，计</w:t>
            </w:r>
            <w:r>
              <w:rPr>
                <w:rFonts w:hint="eastAsia" w:ascii="宋体" w:hAnsi="宋体"/>
                <w:color w:val="auto"/>
                <w:szCs w:val="21"/>
                <w:highlight w:val="none"/>
                <w:lang w:val="en-US" w:eastAsia="zh-CN"/>
              </w:rPr>
              <w:t>15</w:t>
            </w:r>
            <w:r>
              <w:rPr>
                <w:rFonts w:hint="eastAsia" w:ascii="宋体" w:hAnsi="宋体"/>
                <w:color w:val="auto"/>
                <w:szCs w:val="21"/>
                <w:highlight w:val="none"/>
              </w:rPr>
              <w:t>分</w:t>
            </w:r>
            <w:r>
              <w:rPr>
                <w:rFonts w:hint="eastAsia" w:ascii="宋体" w:hAnsi="宋体"/>
                <w:color w:val="auto"/>
                <w:szCs w:val="21"/>
                <w:highlight w:val="none"/>
                <w:lang w:eastAsia="zh-CN"/>
              </w:rPr>
              <w:t>；</w:t>
            </w:r>
          </w:p>
          <w:p>
            <w:pPr>
              <w:spacing w:line="360" w:lineRule="exact"/>
              <w:rPr>
                <w:rFonts w:ascii="宋体" w:hAnsi="宋体"/>
                <w:color w:val="auto"/>
                <w:szCs w:val="21"/>
                <w:highlight w:val="none"/>
              </w:rPr>
            </w:pPr>
            <w:r>
              <w:rPr>
                <w:rFonts w:hint="eastAsia" w:ascii="宋体" w:hAnsi="宋体"/>
                <w:color w:val="auto"/>
                <w:szCs w:val="21"/>
                <w:highlight w:val="none"/>
                <w:lang w:eastAsia="zh-CN"/>
              </w:rPr>
              <w:t>②</w:t>
            </w:r>
            <w:r>
              <w:rPr>
                <w:rFonts w:hint="eastAsia" w:ascii="宋体" w:hAnsi="宋体"/>
                <w:color w:val="auto"/>
                <w:szCs w:val="21"/>
                <w:highlight w:val="none"/>
              </w:rPr>
              <w:t>存在细微偏差的，每处扣</w:t>
            </w:r>
            <w:r>
              <w:rPr>
                <w:rFonts w:hint="eastAsia" w:ascii="宋体" w:hAnsi="宋体"/>
                <w:color w:val="auto"/>
                <w:szCs w:val="21"/>
                <w:highlight w:val="none"/>
                <w:lang w:val="en-US" w:eastAsia="zh-CN"/>
              </w:rPr>
              <w:t>2.5</w:t>
            </w:r>
            <w:r>
              <w:rPr>
                <w:rFonts w:hint="eastAsia" w:ascii="宋体" w:hAnsi="宋体"/>
                <w:color w:val="auto"/>
                <w:szCs w:val="21"/>
                <w:highlight w:val="none"/>
              </w:rPr>
              <w:t>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3" w:hRule="atLeast"/>
          <w:jc w:val="center"/>
        </w:trPr>
        <w:tc>
          <w:tcPr>
            <w:tcW w:w="947" w:type="dxa"/>
            <w:tcBorders>
              <w:tl2br w:val="nil"/>
              <w:tr2bl w:val="nil"/>
            </w:tcBorders>
            <w:vAlign w:val="center"/>
          </w:tcPr>
          <w:p>
            <w:pPr>
              <w:spacing w:line="360" w:lineRule="exact"/>
              <w:ind w:left="625" w:leftChars="1" w:hanging="623" w:hangingChars="297"/>
              <w:jc w:val="center"/>
              <w:rPr>
                <w:rFonts w:ascii="宋体" w:hAnsi="宋体" w:cs="宋体"/>
                <w:color w:val="auto"/>
                <w:szCs w:val="21"/>
                <w:highlight w:val="none"/>
              </w:rPr>
            </w:pPr>
            <w:r>
              <w:rPr>
                <w:rFonts w:hint="eastAsia" w:ascii="宋体" w:hAnsi="宋体" w:cs="宋体"/>
                <w:color w:val="auto"/>
                <w:szCs w:val="21"/>
                <w:highlight w:val="none"/>
              </w:rPr>
              <w:t>2</w:t>
            </w:r>
          </w:p>
        </w:tc>
        <w:tc>
          <w:tcPr>
            <w:tcW w:w="1731" w:type="dxa"/>
            <w:tcBorders>
              <w:tl2br w:val="nil"/>
              <w:tr2bl w:val="nil"/>
            </w:tcBorders>
            <w:vAlign w:val="center"/>
          </w:tcPr>
          <w:p>
            <w:pPr>
              <w:pStyle w:val="19"/>
              <w:spacing w:after="0" w:line="400" w:lineRule="exact"/>
              <w:jc w:val="center"/>
              <w:rPr>
                <w:rFonts w:hint="eastAsia"/>
                <w:highlight w:val="none"/>
                <w:lang w:val="en-US" w:eastAsia="zh-CN"/>
              </w:rPr>
            </w:pPr>
            <w:r>
              <w:rPr>
                <w:rFonts w:hint="eastAsia" w:ascii="宋体" w:hAnsi="宋体" w:eastAsia="宋体" w:cs="Times New Roman"/>
                <w:color w:val="auto"/>
                <w:kern w:val="2"/>
                <w:sz w:val="21"/>
                <w:szCs w:val="21"/>
                <w:highlight w:val="none"/>
                <w:lang w:val="en-US" w:eastAsia="zh-CN" w:bidi="ar-SA"/>
              </w:rPr>
              <w:t>质保期</w:t>
            </w:r>
          </w:p>
          <w:p>
            <w:pPr>
              <w:jc w:val="center"/>
              <w:rPr>
                <w:rFonts w:hint="eastAsia" w:eastAsia="宋体"/>
                <w:highlight w:val="none"/>
                <w:lang w:val="en-US" w:eastAsia="zh-CN"/>
              </w:rPr>
            </w:pPr>
            <w:r>
              <w:rPr>
                <w:rFonts w:hint="eastAsia"/>
                <w:highlight w:val="none"/>
                <w:lang w:val="en-US" w:eastAsia="zh-CN"/>
              </w:rPr>
              <w:t>（20分）</w:t>
            </w:r>
          </w:p>
        </w:tc>
        <w:tc>
          <w:tcPr>
            <w:tcW w:w="6646" w:type="dxa"/>
            <w:tcBorders>
              <w:tl2br w:val="nil"/>
              <w:tr2bl w:val="nil"/>
            </w:tcBorders>
            <w:vAlign w:val="center"/>
          </w:tcPr>
          <w:p>
            <w:pPr>
              <w:pStyle w:val="19"/>
              <w:spacing w:after="0" w:line="40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在满足竞争性谈判文件要求的基础上，质保期每延长12月加10分，最多加20分。</w:t>
            </w:r>
          </w:p>
          <w:p>
            <w:pPr>
              <w:spacing w:line="360" w:lineRule="exact"/>
              <w:rPr>
                <w:rFonts w:ascii="宋体" w:hAnsi="宋体"/>
                <w:color w:val="auto"/>
                <w:szCs w:val="21"/>
                <w:highlight w:val="none"/>
              </w:rPr>
            </w:pPr>
            <w:r>
              <w:rPr>
                <w:rFonts w:hint="eastAsia" w:ascii="宋体" w:hAnsi="宋体" w:cs="宋体"/>
                <w:b/>
                <w:bCs/>
                <w:highlight w:val="none"/>
                <w:lang w:val="en-US" w:eastAsia="zh-CN"/>
              </w:rPr>
              <w:t>注：须提供承诺函，并加盖谈判单位公章。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5" w:hRule="atLeast"/>
          <w:jc w:val="center"/>
        </w:trPr>
        <w:tc>
          <w:tcPr>
            <w:tcW w:w="947" w:type="dxa"/>
            <w:tcBorders>
              <w:tl2br w:val="nil"/>
              <w:tr2bl w:val="nil"/>
            </w:tcBorders>
            <w:vAlign w:val="center"/>
          </w:tcPr>
          <w:p>
            <w:pPr>
              <w:spacing w:line="360" w:lineRule="exact"/>
              <w:ind w:left="625" w:leftChars="1" w:hanging="623" w:hangingChars="297"/>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731" w:type="dxa"/>
            <w:tcBorders>
              <w:tl2br w:val="nil"/>
              <w:tr2bl w:val="nil"/>
            </w:tcBorders>
            <w:vAlign w:val="center"/>
          </w:tcPr>
          <w:p>
            <w:pPr>
              <w:pStyle w:val="19"/>
              <w:spacing w:after="0" w:line="40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企业实力</w:t>
            </w:r>
          </w:p>
          <w:p>
            <w:pPr>
              <w:jc w:val="center"/>
              <w:rPr>
                <w:rFonts w:hint="eastAsia"/>
                <w:highlight w:val="none"/>
              </w:rPr>
            </w:pPr>
            <w:r>
              <w:rPr>
                <w:rFonts w:hint="eastAsia" w:ascii="宋体" w:hAnsi="宋体" w:cs="宋体"/>
                <w:kern w:val="2"/>
                <w:sz w:val="21"/>
                <w:szCs w:val="24"/>
                <w:highlight w:val="none"/>
                <w:lang w:val="en-US" w:eastAsia="zh-CN" w:bidi="ar-SA"/>
              </w:rPr>
              <w:t>（20分）</w:t>
            </w:r>
          </w:p>
        </w:tc>
        <w:tc>
          <w:tcPr>
            <w:tcW w:w="66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Cs w:val="21"/>
                <w:highlight w:val="none"/>
              </w:rPr>
            </w:pPr>
            <w:r>
              <w:rPr>
                <w:rFonts w:hint="eastAsia" w:ascii="宋体" w:hAnsi="宋体" w:cs="宋体"/>
                <w:highlight w:val="none"/>
                <w:lang w:eastAsia="zh-CN"/>
              </w:rPr>
              <w:t>谈判单位具有建筑装饰工程设计专项</w:t>
            </w:r>
            <w:r>
              <w:rPr>
                <w:rFonts w:hint="eastAsia" w:ascii="宋体" w:hAnsi="宋体" w:cs="宋体"/>
                <w:highlight w:val="none"/>
                <w:lang w:val="en-US" w:eastAsia="zh-CN"/>
              </w:rPr>
              <w:t>乙</w:t>
            </w:r>
            <w:r>
              <w:rPr>
                <w:rFonts w:hint="eastAsia" w:ascii="宋体" w:hAnsi="宋体" w:cs="宋体"/>
                <w:highlight w:val="none"/>
                <w:lang w:eastAsia="zh-CN"/>
              </w:rPr>
              <w:t>级及以上设计资质的，计</w:t>
            </w:r>
            <w:r>
              <w:rPr>
                <w:rFonts w:hint="eastAsia" w:ascii="宋体" w:hAnsi="宋体" w:cs="宋体"/>
                <w:highlight w:val="none"/>
                <w:lang w:val="en-US" w:eastAsia="zh-CN"/>
              </w:rPr>
              <w:t>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3" w:hRule="atLeast"/>
          <w:jc w:val="center"/>
        </w:trPr>
        <w:tc>
          <w:tcPr>
            <w:tcW w:w="947" w:type="dxa"/>
            <w:tcBorders>
              <w:tl2br w:val="nil"/>
              <w:tr2bl w:val="nil"/>
            </w:tcBorders>
            <w:vAlign w:val="center"/>
          </w:tcPr>
          <w:p>
            <w:pPr>
              <w:spacing w:line="360" w:lineRule="exact"/>
              <w:ind w:left="625" w:leftChars="1" w:hanging="623" w:hangingChars="297"/>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1731" w:type="dxa"/>
            <w:tcBorders>
              <w:tl2br w:val="nil"/>
              <w:tr2bl w:val="nil"/>
            </w:tcBorders>
            <w:vAlign w:val="center"/>
          </w:tcPr>
          <w:p>
            <w:pPr>
              <w:spacing w:line="360" w:lineRule="exact"/>
              <w:jc w:val="center"/>
              <w:rPr>
                <w:rFonts w:hint="eastAsia"/>
                <w:highlight w:val="none"/>
              </w:rPr>
            </w:pPr>
            <w:r>
              <w:rPr>
                <w:rFonts w:hint="eastAsia"/>
                <w:highlight w:val="none"/>
              </w:rPr>
              <w:t>综合实力</w:t>
            </w:r>
          </w:p>
          <w:p>
            <w:pPr>
              <w:pStyle w:val="2"/>
              <w:ind w:left="0" w:leftChars="0" w:firstLine="0" w:firstLineChars="0"/>
              <w:jc w:val="center"/>
              <w:rPr>
                <w:rFonts w:hint="eastAsia" w:eastAsia="宋体"/>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15分</w:t>
            </w:r>
            <w:r>
              <w:rPr>
                <w:rFonts w:hint="eastAsia" w:ascii="宋体" w:hAnsi="宋体"/>
                <w:color w:val="auto"/>
                <w:szCs w:val="21"/>
                <w:highlight w:val="none"/>
                <w:lang w:eastAsia="zh-CN"/>
              </w:rPr>
              <w:t>）</w:t>
            </w:r>
          </w:p>
        </w:tc>
        <w:tc>
          <w:tcPr>
            <w:tcW w:w="66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①</w:t>
            </w:r>
            <w:r>
              <w:rPr>
                <w:rFonts w:hint="eastAsia" w:ascii="宋体" w:hAnsi="宋体" w:cs="宋体"/>
                <w:color w:val="auto"/>
                <w:szCs w:val="21"/>
                <w:highlight w:val="none"/>
              </w:rPr>
              <w:t>具备有效的质量管理体系认证证书的，</w:t>
            </w:r>
            <w:r>
              <w:rPr>
                <w:rFonts w:hint="eastAsia" w:ascii="宋体" w:hAnsi="宋体" w:cs="宋体"/>
                <w:highlight w:val="none"/>
                <w:lang w:eastAsia="zh-CN"/>
              </w:rPr>
              <w:t>计</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②</w:t>
            </w:r>
            <w:r>
              <w:rPr>
                <w:rFonts w:hint="eastAsia" w:ascii="宋体" w:hAnsi="宋体" w:cs="宋体"/>
                <w:color w:val="auto"/>
                <w:szCs w:val="21"/>
                <w:highlight w:val="none"/>
              </w:rPr>
              <w:t>具备有效的职业健康安全管理体系认证证书的，</w:t>
            </w:r>
            <w:r>
              <w:rPr>
                <w:rFonts w:hint="eastAsia" w:ascii="宋体" w:hAnsi="宋体" w:cs="宋体"/>
                <w:highlight w:val="none"/>
                <w:lang w:eastAsia="zh-CN"/>
              </w:rPr>
              <w:t>计</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③</w:t>
            </w:r>
            <w:r>
              <w:rPr>
                <w:rFonts w:hint="eastAsia" w:ascii="宋体" w:hAnsi="宋体" w:cs="宋体"/>
                <w:color w:val="auto"/>
                <w:szCs w:val="21"/>
                <w:highlight w:val="none"/>
              </w:rPr>
              <w:t>具备有效的环境管理体系认证证书的，</w:t>
            </w:r>
            <w:r>
              <w:rPr>
                <w:rFonts w:hint="eastAsia" w:ascii="宋体" w:hAnsi="宋体" w:cs="宋体"/>
                <w:highlight w:val="none"/>
                <w:lang w:eastAsia="zh-CN"/>
              </w:rPr>
              <w:t>计</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62" w:hRule="atLeast"/>
          <w:jc w:val="center"/>
        </w:trPr>
        <w:tc>
          <w:tcPr>
            <w:tcW w:w="947" w:type="dxa"/>
            <w:tcBorders>
              <w:tl2br w:val="nil"/>
              <w:tr2bl w:val="nil"/>
            </w:tcBorders>
            <w:vAlign w:val="center"/>
          </w:tcPr>
          <w:p>
            <w:pPr>
              <w:spacing w:line="360" w:lineRule="exact"/>
              <w:ind w:left="625" w:leftChars="1" w:hanging="623" w:hangingChars="297"/>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731" w:type="dxa"/>
            <w:tcBorders>
              <w:tl2br w:val="nil"/>
              <w:tr2bl w:val="nil"/>
            </w:tcBorders>
            <w:vAlign w:val="center"/>
          </w:tcPr>
          <w:p>
            <w:pPr>
              <w:spacing w:line="360" w:lineRule="exact"/>
              <w:jc w:val="center"/>
              <w:rPr>
                <w:rFonts w:hint="eastAsia"/>
                <w:highlight w:val="none"/>
              </w:rPr>
            </w:pPr>
            <w:r>
              <w:rPr>
                <w:rFonts w:hint="eastAsia"/>
                <w:highlight w:val="none"/>
              </w:rPr>
              <w:t>人员配置</w:t>
            </w:r>
          </w:p>
          <w:p>
            <w:pPr>
              <w:pStyle w:val="2"/>
              <w:ind w:left="0" w:leftChars="0" w:firstLine="0" w:firstLineChars="0"/>
              <w:jc w:val="center"/>
              <w:rPr>
                <w:rFonts w:hint="eastAsia" w:eastAsia="宋体"/>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10分</w:t>
            </w:r>
            <w:r>
              <w:rPr>
                <w:rFonts w:hint="eastAsia" w:ascii="宋体" w:hAnsi="宋体" w:cs="宋体"/>
                <w:color w:val="auto"/>
                <w:szCs w:val="21"/>
                <w:highlight w:val="none"/>
                <w:lang w:eastAsia="zh-CN"/>
              </w:rPr>
              <w:t>）</w:t>
            </w:r>
          </w:p>
        </w:tc>
        <w:tc>
          <w:tcPr>
            <w:tcW w:w="66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项目关键</w:t>
            </w:r>
            <w:r>
              <w:rPr>
                <w:rFonts w:ascii="宋体" w:hAnsi="宋体" w:cs="宋体"/>
                <w:color w:val="auto"/>
                <w:szCs w:val="21"/>
                <w:highlight w:val="none"/>
              </w:rPr>
              <w:t>岗位</w:t>
            </w:r>
            <w:r>
              <w:rPr>
                <w:rFonts w:hint="eastAsia" w:ascii="宋体" w:hAnsi="宋体" w:cs="宋体"/>
                <w:color w:val="auto"/>
                <w:szCs w:val="21"/>
                <w:highlight w:val="none"/>
              </w:rPr>
              <w:t>人员</w:t>
            </w:r>
            <w:r>
              <w:rPr>
                <w:rFonts w:ascii="宋体" w:hAnsi="宋体" w:cs="宋体"/>
                <w:color w:val="auto"/>
                <w:szCs w:val="21"/>
                <w:highlight w:val="none"/>
              </w:rPr>
              <w:t>配备满足本项目</w:t>
            </w:r>
            <w:r>
              <w:rPr>
                <w:rFonts w:hint="eastAsia" w:ascii="宋体" w:hAnsi="宋体" w:cs="宋体"/>
                <w:color w:val="auto"/>
                <w:szCs w:val="21"/>
                <w:highlight w:val="none"/>
              </w:rPr>
              <w:t>关键岗位</w:t>
            </w:r>
            <w:r>
              <w:rPr>
                <w:rFonts w:ascii="宋体" w:hAnsi="宋体" w:cs="宋体"/>
                <w:color w:val="auto"/>
                <w:szCs w:val="21"/>
                <w:highlight w:val="none"/>
              </w:rPr>
              <w:t>人员最低</w:t>
            </w:r>
            <w:r>
              <w:rPr>
                <w:rFonts w:hint="eastAsia" w:ascii="宋体" w:hAnsi="宋体" w:cs="宋体"/>
                <w:color w:val="auto"/>
                <w:szCs w:val="21"/>
                <w:highlight w:val="none"/>
              </w:rPr>
              <w:t>配备</w:t>
            </w:r>
            <w:r>
              <w:rPr>
                <w:rFonts w:ascii="宋体" w:hAnsi="宋体" w:cs="宋体"/>
                <w:color w:val="auto"/>
                <w:szCs w:val="21"/>
                <w:highlight w:val="none"/>
              </w:rPr>
              <w:t>要求</w:t>
            </w:r>
            <w:r>
              <w:rPr>
                <w:rFonts w:hint="eastAsia" w:ascii="宋体" w:hAnsi="宋体" w:cs="宋体"/>
                <w:color w:val="auto"/>
                <w:szCs w:val="21"/>
                <w:highlight w:val="none"/>
              </w:rPr>
              <w:t>基础上，每增加1名</w:t>
            </w:r>
            <w:r>
              <w:rPr>
                <w:rFonts w:ascii="宋体" w:hAnsi="宋体" w:cs="宋体"/>
                <w:color w:val="auto"/>
                <w:szCs w:val="21"/>
                <w:highlight w:val="none"/>
              </w:rPr>
              <w:t>本项目</w:t>
            </w:r>
            <w:r>
              <w:rPr>
                <w:rFonts w:hint="eastAsia" w:ascii="宋体" w:hAnsi="宋体" w:cs="宋体"/>
                <w:color w:val="auto"/>
                <w:szCs w:val="21"/>
                <w:highlight w:val="none"/>
              </w:rPr>
              <w:t>关键岗位</w:t>
            </w:r>
            <w:r>
              <w:rPr>
                <w:rFonts w:ascii="宋体" w:hAnsi="宋体" w:cs="宋体"/>
                <w:color w:val="auto"/>
                <w:szCs w:val="21"/>
                <w:highlight w:val="none"/>
              </w:rPr>
              <w:t>人员</w:t>
            </w:r>
            <w:r>
              <w:rPr>
                <w:rFonts w:hint="eastAsia" w:ascii="宋体" w:hAnsi="宋体" w:cs="宋体"/>
                <w:color w:val="auto"/>
                <w:szCs w:val="21"/>
                <w:highlight w:val="none"/>
              </w:rPr>
              <w:t>（</w:t>
            </w:r>
            <w:r>
              <w:rPr>
                <w:rFonts w:hint="eastAsia"/>
                <w:color w:val="auto"/>
                <w:szCs w:val="21"/>
                <w:highlight w:val="none"/>
              </w:rPr>
              <w:t>施工员或专职安全员</w:t>
            </w:r>
            <w:r>
              <w:rPr>
                <w:rFonts w:hint="eastAsia" w:ascii="宋体" w:hAnsi="宋体" w:cs="宋体"/>
                <w:color w:val="auto"/>
                <w:szCs w:val="21"/>
                <w:highlight w:val="none"/>
              </w:rPr>
              <w:t>）加</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分，最多加</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5" w:hRule="exact"/>
          <w:jc w:val="center"/>
        </w:trPr>
        <w:tc>
          <w:tcPr>
            <w:tcW w:w="947" w:type="dxa"/>
            <w:tcBorders>
              <w:tl2br w:val="nil"/>
              <w:tr2bl w:val="nil"/>
            </w:tcBorders>
            <w:vAlign w:val="center"/>
          </w:tcPr>
          <w:p>
            <w:pPr>
              <w:spacing w:line="360" w:lineRule="exact"/>
              <w:ind w:left="625" w:leftChars="1" w:hanging="623" w:hangingChars="297"/>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731" w:type="dxa"/>
            <w:tcBorders>
              <w:tl2br w:val="nil"/>
              <w:tr2bl w:val="nil"/>
            </w:tcBorders>
            <w:vAlign w:val="center"/>
          </w:tcPr>
          <w:p>
            <w:pPr>
              <w:widowControl/>
              <w:spacing w:line="360" w:lineRule="exact"/>
              <w:jc w:val="center"/>
              <w:textAlignment w:val="center"/>
              <w:rPr>
                <w:rFonts w:hint="eastAsia"/>
                <w:highlight w:val="none"/>
              </w:rPr>
            </w:pPr>
            <w:r>
              <w:rPr>
                <w:rFonts w:hint="eastAsia"/>
                <w:highlight w:val="none"/>
              </w:rPr>
              <w:t>不良行为</w:t>
            </w:r>
          </w:p>
          <w:p>
            <w:pPr>
              <w:pStyle w:val="2"/>
              <w:ind w:left="0" w:leftChars="0" w:firstLine="0" w:firstLineChars="0"/>
              <w:jc w:val="center"/>
              <w:rPr>
                <w:rFonts w:hint="eastAsia" w:eastAsia="宋体"/>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20分</w:t>
            </w:r>
            <w:r>
              <w:rPr>
                <w:rFonts w:hint="eastAsia" w:ascii="宋体" w:hAnsi="宋体"/>
                <w:color w:val="auto"/>
                <w:szCs w:val="21"/>
                <w:highlight w:val="none"/>
                <w:lang w:eastAsia="zh-CN"/>
              </w:rPr>
              <w:t>）</w:t>
            </w:r>
          </w:p>
        </w:tc>
        <w:tc>
          <w:tcPr>
            <w:tcW w:w="6646" w:type="dxa"/>
            <w:tcBorders>
              <w:tl2br w:val="nil"/>
              <w:tr2bl w:val="nil"/>
            </w:tcBorders>
            <w:vAlign w:val="center"/>
          </w:tcPr>
          <w:p>
            <w:pPr>
              <w:spacing w:line="360" w:lineRule="exact"/>
              <w:rPr>
                <w:highlight w:val="none"/>
              </w:rPr>
            </w:pPr>
            <w:r>
              <w:rPr>
                <w:rFonts w:hint="eastAsia"/>
                <w:highlight w:val="none"/>
                <w:lang w:val="en-US" w:eastAsia="zh-CN"/>
              </w:rPr>
              <w:t>①谈判单位</w:t>
            </w:r>
            <w:r>
              <w:rPr>
                <w:rFonts w:hint="eastAsia"/>
                <w:highlight w:val="none"/>
              </w:rPr>
              <w:t>或拟任项目负责人无不良行为记录的计</w:t>
            </w:r>
            <w:r>
              <w:rPr>
                <w:rFonts w:hint="eastAsia"/>
                <w:highlight w:val="none"/>
                <w:lang w:val="en-US" w:eastAsia="zh-CN"/>
              </w:rPr>
              <w:t>20</w:t>
            </w:r>
            <w:r>
              <w:rPr>
                <w:rFonts w:hint="eastAsia"/>
                <w:highlight w:val="none"/>
              </w:rPr>
              <w:t>分。</w:t>
            </w:r>
          </w:p>
          <w:p>
            <w:pPr>
              <w:spacing w:line="360" w:lineRule="exact"/>
              <w:rPr>
                <w:highlight w:val="none"/>
              </w:rPr>
            </w:pPr>
            <w:r>
              <w:rPr>
                <w:rFonts w:hint="eastAsia"/>
                <w:highlight w:val="none"/>
                <w:lang w:val="en-US" w:eastAsia="zh-CN"/>
              </w:rPr>
              <w:t>②谈判单位</w:t>
            </w:r>
            <w:r>
              <w:rPr>
                <w:rFonts w:hint="eastAsia"/>
                <w:highlight w:val="none"/>
              </w:rPr>
              <w:t>或拟任项目负责人每发生一次严重不良行为记录每条扣</w:t>
            </w:r>
            <w:r>
              <w:rPr>
                <w:rFonts w:hint="eastAsia"/>
                <w:highlight w:val="none"/>
                <w:lang w:val="en-US" w:eastAsia="zh-CN"/>
              </w:rPr>
              <w:t>20</w:t>
            </w:r>
            <w:r>
              <w:rPr>
                <w:rFonts w:hint="eastAsia"/>
                <w:highlight w:val="none"/>
              </w:rPr>
              <w:t>分；</w:t>
            </w:r>
          </w:p>
          <w:p>
            <w:pPr>
              <w:spacing w:line="360" w:lineRule="exact"/>
              <w:rPr>
                <w:rFonts w:hint="eastAsia"/>
                <w:highlight w:val="none"/>
              </w:rPr>
            </w:pPr>
            <w:r>
              <w:rPr>
                <w:rFonts w:hint="eastAsia"/>
                <w:highlight w:val="none"/>
                <w:lang w:val="en-US" w:eastAsia="zh-CN"/>
              </w:rPr>
              <w:t>③谈判单位</w:t>
            </w:r>
            <w:r>
              <w:rPr>
                <w:rFonts w:hint="eastAsia"/>
                <w:highlight w:val="none"/>
              </w:rPr>
              <w:t>或拟任项目负责人每发生一次一般不良行为记录每条扣</w:t>
            </w:r>
            <w:r>
              <w:rPr>
                <w:rFonts w:hint="eastAsia"/>
                <w:highlight w:val="none"/>
                <w:lang w:val="en-US" w:eastAsia="zh-CN"/>
              </w:rPr>
              <w:t>10</w:t>
            </w:r>
            <w:r>
              <w:rPr>
                <w:rFonts w:hint="eastAsia"/>
                <w:highlight w:val="none"/>
              </w:rPr>
              <w:t>分，扣完为止。</w:t>
            </w:r>
          </w:p>
          <w:p>
            <w:pPr>
              <w:pStyle w:val="2"/>
              <w:ind w:left="0" w:leftChars="0" w:firstLine="0" w:firstLineChars="0"/>
              <w:rPr>
                <w:highlight w:val="none"/>
              </w:rPr>
            </w:pPr>
            <w:r>
              <w:rPr>
                <w:rFonts w:hint="eastAsia" w:ascii="宋体" w:hAnsi="宋体" w:cs="宋体"/>
                <w:b/>
                <w:bCs/>
                <w:highlight w:val="none"/>
                <w:lang w:val="en-US" w:eastAsia="zh-CN"/>
              </w:rPr>
              <w:t>注：须提供可查验的真实信息截图，并加盖谈判单位公章。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2" w:hRule="exact"/>
          <w:jc w:val="center"/>
        </w:trPr>
        <w:tc>
          <w:tcPr>
            <w:tcW w:w="947" w:type="dxa"/>
            <w:tcBorders>
              <w:tl2br w:val="nil"/>
              <w:tr2bl w:val="nil"/>
            </w:tcBorders>
            <w:vAlign w:val="center"/>
          </w:tcPr>
          <w:p>
            <w:pPr>
              <w:spacing w:line="360" w:lineRule="exact"/>
              <w:ind w:left="578" w:leftChars="1" w:hanging="576" w:hangingChars="297"/>
              <w:jc w:val="center"/>
              <w:rPr>
                <w:rFonts w:ascii="宋体" w:hAnsi="宋体" w:cs="宋体"/>
                <w:color w:val="auto"/>
                <w:szCs w:val="21"/>
                <w:highlight w:val="none"/>
              </w:rPr>
            </w:pPr>
            <w:r>
              <w:rPr>
                <w:rFonts w:hint="eastAsia" w:ascii="宋体" w:hAnsi="宋体" w:cs="宋体"/>
                <w:color w:val="auto"/>
                <w:spacing w:val="-8"/>
                <w:szCs w:val="21"/>
                <w:highlight w:val="none"/>
              </w:rPr>
              <w:t>合计</w:t>
            </w:r>
          </w:p>
        </w:tc>
        <w:tc>
          <w:tcPr>
            <w:tcW w:w="1731" w:type="dxa"/>
            <w:tcBorders>
              <w:tl2br w:val="nil"/>
              <w:tr2bl w:val="nil"/>
            </w:tcBorders>
            <w:vAlign w:val="center"/>
          </w:tcPr>
          <w:p>
            <w:pPr>
              <w:widowControl/>
              <w:spacing w:line="360" w:lineRule="exact"/>
              <w:jc w:val="center"/>
              <w:textAlignment w:val="center"/>
              <w:rPr>
                <w:rFonts w:hint="default" w:ascii="宋体" w:hAnsi="宋体" w:eastAsia="宋体" w:cs="宋体"/>
                <w:color w:val="auto"/>
                <w:spacing w:val="-8"/>
                <w:szCs w:val="21"/>
                <w:highlight w:val="none"/>
                <w:lang w:val="en-US" w:eastAsia="zh-CN"/>
              </w:rPr>
            </w:pPr>
            <w:r>
              <w:rPr>
                <w:rFonts w:hint="eastAsia" w:ascii="宋体" w:hAnsi="宋体" w:cs="宋体"/>
                <w:color w:val="auto"/>
                <w:spacing w:val="-8"/>
                <w:szCs w:val="21"/>
                <w:highlight w:val="none"/>
                <w:lang w:val="en-US" w:eastAsia="zh-CN"/>
              </w:rPr>
              <w:t>100分</w:t>
            </w:r>
          </w:p>
        </w:tc>
        <w:tc>
          <w:tcPr>
            <w:tcW w:w="6646" w:type="dxa"/>
            <w:tcBorders>
              <w:tl2br w:val="nil"/>
              <w:tr2bl w:val="nil"/>
            </w:tcBorders>
            <w:vAlign w:val="center"/>
          </w:tcPr>
          <w:p>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r>
    </w:tbl>
    <w:p>
      <w:pPr>
        <w:pStyle w:val="46"/>
        <w:rPr>
          <w:rFonts w:hint="eastAsia"/>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评审说明：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细微偏差是指谈判响应文件实质性响应了谈判文件要求，但在个别地方存在漏项或者提供了不完整的信息和数据，或者响应文件格式等地方存在与谈判文件规定不完全一致等情况，并且补正这些遗漏或者不完整不会对其他谈判单位造成不公平的结果。细微偏差不影响响应文件的有效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.响应</w:t>
      </w:r>
      <w:r>
        <w:rPr>
          <w:rFonts w:ascii="宋体" w:hAnsi="宋体" w:cs="宋体"/>
          <w:color w:val="auto"/>
          <w:szCs w:val="21"/>
          <w:highlight w:val="none"/>
        </w:rPr>
        <w:t>文件缺失某项评审因素的，该项计零分。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.获得质量管理体系认证、</w:t>
      </w:r>
      <w:r>
        <w:rPr>
          <w:rFonts w:ascii="宋体" w:hAnsi="宋体" w:cs="宋体"/>
          <w:color w:val="auto"/>
          <w:szCs w:val="21"/>
          <w:highlight w:val="none"/>
        </w:rPr>
        <w:t>职业健康安全管理体系</w:t>
      </w:r>
      <w:r>
        <w:rPr>
          <w:rFonts w:hint="eastAsia" w:ascii="宋体" w:hAnsi="宋体" w:cs="宋体"/>
          <w:color w:val="auto"/>
          <w:szCs w:val="21"/>
          <w:highlight w:val="none"/>
        </w:rPr>
        <w:t>认证、环境管理体系认证的，须提供有效的质量管理体系认证、职业健康安全管理体系认证、环境管理体系认证证书的复印件，并加盖谈判单位公章。</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ascii="宋体" w:hAnsi="宋体" w:cs="宋体"/>
          <w:color w:val="auto"/>
          <w:szCs w:val="21"/>
          <w:highlight w:val="none"/>
        </w:rPr>
      </w:pPr>
      <w:r>
        <w:rPr>
          <w:rFonts w:hint="eastAsia" w:ascii="宋体" w:hAnsi="宋体" w:cs="宋体"/>
          <w:iCs/>
          <w:color w:val="auto"/>
          <w:szCs w:val="21"/>
          <w:highlight w:val="none"/>
          <w:lang w:val="en-US" w:eastAsia="zh-CN"/>
        </w:rPr>
        <w:t>4</w:t>
      </w:r>
      <w:r>
        <w:rPr>
          <w:rFonts w:hint="eastAsia" w:ascii="宋体" w:hAnsi="宋体" w:cs="宋体"/>
          <w:iCs/>
          <w:color w:val="auto"/>
          <w:szCs w:val="21"/>
          <w:highlight w:val="none"/>
        </w:rPr>
        <w:t>.项目关键</w:t>
      </w:r>
      <w:r>
        <w:rPr>
          <w:rFonts w:ascii="宋体" w:hAnsi="宋体" w:cs="宋体"/>
          <w:iCs/>
          <w:color w:val="auto"/>
          <w:szCs w:val="21"/>
          <w:highlight w:val="none"/>
        </w:rPr>
        <w:t>岗位</w:t>
      </w:r>
      <w:r>
        <w:rPr>
          <w:rFonts w:hint="eastAsia" w:ascii="宋体" w:hAnsi="宋体" w:cs="宋体"/>
          <w:iCs/>
          <w:color w:val="auto"/>
          <w:szCs w:val="21"/>
          <w:highlight w:val="none"/>
        </w:rPr>
        <w:t>人员最低配备要求详见本项目谈判公告，</w:t>
      </w:r>
      <w:r>
        <w:rPr>
          <w:rFonts w:hint="eastAsia" w:ascii="宋体" w:hAnsi="宋体" w:cs="宋体"/>
          <w:color w:val="auto"/>
          <w:szCs w:val="21"/>
          <w:highlight w:val="none"/>
        </w:rPr>
        <w:t>人员证书均需提供相关证明材料复印件，并加盖谈判单位公章。</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.不良行为记录包括工程质量、安全生产、市场行为等方面的情况。湖南省住房和城乡建设厅发布的《湖南省建筑市场责任主体不良行为记录》是确认本省行政区域内不良行为记录的依据。</w:t>
      </w:r>
      <w:r>
        <w:rPr>
          <w:rFonts w:hint="eastAsia" w:ascii="宋体" w:hAnsi="宋体" w:cs="宋体"/>
          <w:color w:val="auto"/>
          <w:szCs w:val="21"/>
          <w:highlight w:val="none"/>
          <w:lang w:eastAsia="zh-CN"/>
        </w:rPr>
        <w:t>谈判单位</w:t>
      </w:r>
      <w:r>
        <w:rPr>
          <w:rFonts w:hint="eastAsia" w:ascii="宋体" w:hAnsi="宋体" w:cs="宋体"/>
          <w:color w:val="auto"/>
          <w:szCs w:val="21"/>
          <w:highlight w:val="none"/>
        </w:rPr>
        <w:t>和拟任项目负责人不良行为记录扣分有效期为180天，自湖南省住房和城乡建设厅公布之日起至提交</w:t>
      </w:r>
      <w:r>
        <w:rPr>
          <w:rFonts w:hint="eastAsia" w:ascii="宋体" w:hAnsi="宋体" w:cs="宋体"/>
          <w:color w:val="auto"/>
          <w:szCs w:val="21"/>
          <w:highlight w:val="none"/>
          <w:lang w:eastAsia="zh-CN"/>
        </w:rPr>
        <w:t>谈判响应</w:t>
      </w:r>
      <w:r>
        <w:rPr>
          <w:rFonts w:hint="eastAsia" w:ascii="宋体" w:hAnsi="宋体" w:cs="宋体"/>
          <w:color w:val="auto"/>
          <w:szCs w:val="21"/>
          <w:highlight w:val="none"/>
        </w:rPr>
        <w:t>文件截止之日止。外省区市公布的不良行为不扣分。</w:t>
      </w:r>
    </w:p>
    <w:p>
      <w:pPr>
        <w:widowControl/>
        <w:jc w:val="left"/>
        <w:rPr>
          <w:rFonts w:ascii="黑体" w:hAnsi="黑体" w:eastAsia="黑体" w:cs="Calibri"/>
          <w:color w:val="auto"/>
          <w:kern w:val="0"/>
          <w:sz w:val="28"/>
          <w:szCs w:val="28"/>
          <w:highlight w:val="none"/>
        </w:rPr>
      </w:pPr>
      <w:r>
        <w:rPr>
          <w:rFonts w:ascii="宋体" w:hAnsi="宋体" w:cs="宋体"/>
          <w:color w:val="auto"/>
          <w:szCs w:val="21"/>
          <w:highlight w:val="none"/>
        </w:rPr>
        <w:br w:type="page"/>
      </w:r>
    </w:p>
    <w:p>
      <w:pP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附表</w:t>
      </w:r>
      <w:r>
        <w:rPr>
          <w:rFonts w:hint="eastAsia" w:ascii="黑体" w:hAnsi="黑体" w:eastAsia="黑体" w:cs="黑体"/>
          <w:color w:val="auto"/>
          <w:sz w:val="28"/>
          <w:szCs w:val="28"/>
          <w:highlight w:val="none"/>
          <w:lang w:val="en-US" w:eastAsia="zh-CN"/>
        </w:rPr>
        <w:t>2</w:t>
      </w:r>
    </w:p>
    <w:p>
      <w:pPr>
        <w:widowControl/>
        <w:shd w:val="clear" w:color="auto" w:fill="FFFFFF"/>
        <w:jc w:val="center"/>
        <w:rPr>
          <w:rFonts w:ascii="宋体" w:hAnsi="宋体" w:cs="宋体"/>
          <w:b/>
          <w:color w:val="auto"/>
          <w:sz w:val="28"/>
          <w:szCs w:val="28"/>
          <w:highlight w:val="none"/>
        </w:rPr>
      </w:pPr>
      <w:r>
        <w:rPr>
          <w:rFonts w:hint="eastAsia" w:ascii="宋体" w:hAnsi="宋体" w:cs="宋体"/>
          <w:b/>
          <w:color w:val="auto"/>
          <w:sz w:val="28"/>
          <w:szCs w:val="28"/>
          <w:highlight w:val="none"/>
        </w:rPr>
        <w:t>技术评审计分表（总分</w:t>
      </w:r>
      <w:r>
        <w:rPr>
          <w:rFonts w:hint="eastAsia" w:ascii="宋体" w:hAnsi="宋体" w:cs="宋体"/>
          <w:b/>
          <w:color w:val="auto"/>
          <w:sz w:val="28"/>
          <w:szCs w:val="28"/>
          <w:highlight w:val="none"/>
          <w:lang w:val="en-US" w:eastAsia="zh-CN"/>
        </w:rPr>
        <w:t>10</w:t>
      </w:r>
      <w:r>
        <w:rPr>
          <w:rFonts w:ascii="宋体" w:hAnsi="宋体" w:cs="宋体"/>
          <w:b/>
          <w:color w:val="auto"/>
          <w:sz w:val="28"/>
          <w:szCs w:val="28"/>
          <w:highlight w:val="none"/>
        </w:rPr>
        <w:t>0</w:t>
      </w:r>
      <w:r>
        <w:rPr>
          <w:rFonts w:hint="eastAsia" w:ascii="宋体" w:hAnsi="宋体" w:cs="宋体"/>
          <w:b/>
          <w:color w:val="auto"/>
          <w:sz w:val="28"/>
          <w:szCs w:val="28"/>
          <w:highlight w:val="none"/>
        </w:rPr>
        <w:t>分</w:t>
      </w:r>
      <w:r>
        <w:rPr>
          <w:rFonts w:hint="eastAsia" w:ascii="宋体" w:hAnsi="宋体" w:cs="宋体"/>
          <w:b/>
          <w:color w:val="auto"/>
          <w:sz w:val="28"/>
          <w:szCs w:val="28"/>
          <w:highlight w:val="none"/>
          <w:lang w:eastAsia="zh-CN"/>
        </w:rPr>
        <w:t>，权重</w:t>
      </w:r>
      <w:r>
        <w:rPr>
          <w:rFonts w:hint="eastAsia" w:ascii="宋体" w:hAnsi="宋体" w:cs="宋体"/>
          <w:b/>
          <w:color w:val="auto"/>
          <w:sz w:val="28"/>
          <w:szCs w:val="28"/>
          <w:highlight w:val="none"/>
          <w:lang w:val="en-US" w:eastAsia="zh-CN"/>
        </w:rPr>
        <w:t>30%</w:t>
      </w:r>
      <w:r>
        <w:rPr>
          <w:rFonts w:hint="eastAsia" w:ascii="宋体" w:hAnsi="宋体" w:cs="宋体"/>
          <w:b/>
          <w:color w:val="auto"/>
          <w:sz w:val="28"/>
          <w:szCs w:val="28"/>
          <w:highlight w:val="none"/>
        </w:rPr>
        <w:t>）</w:t>
      </w:r>
    </w:p>
    <w:tbl>
      <w:tblPr>
        <w:tblStyle w:val="47"/>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0"/>
        <w:gridCol w:w="1708"/>
        <w:gridCol w:w="574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890" w:type="dxa"/>
            <w:noWrap w:val="0"/>
            <w:tcMar>
              <w:top w:w="15" w:type="dxa"/>
              <w:left w:w="15" w:type="dxa"/>
              <w:bottom w:w="0" w:type="dxa"/>
              <w:right w:w="15" w:type="dxa"/>
            </w:tcMar>
            <w:vAlign w:val="center"/>
          </w:tcPr>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序号</w:t>
            </w:r>
          </w:p>
        </w:tc>
        <w:tc>
          <w:tcPr>
            <w:tcW w:w="1708" w:type="dxa"/>
            <w:noWrap w:val="0"/>
            <w:vAlign w:val="center"/>
          </w:tcPr>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评审因素</w:t>
            </w:r>
            <w:r>
              <w:rPr>
                <w:rFonts w:hint="eastAsia" w:ascii="宋体" w:hAnsi="宋体" w:cs="宋体"/>
                <w:b/>
                <w:bCs/>
                <w:highlight w:val="none"/>
              </w:rPr>
              <w:t>分值</w:t>
            </w:r>
          </w:p>
        </w:tc>
        <w:tc>
          <w:tcPr>
            <w:tcW w:w="5745" w:type="dxa"/>
            <w:noWrap w:val="0"/>
            <w:tcMar>
              <w:top w:w="15" w:type="dxa"/>
              <w:left w:w="15" w:type="dxa"/>
              <w:bottom w:w="0" w:type="dxa"/>
              <w:right w:w="15" w:type="dxa"/>
            </w:tcMar>
            <w:vAlign w:val="center"/>
          </w:tcPr>
          <w:p>
            <w:pPr>
              <w:widowControl/>
              <w:wordWrap w:val="0"/>
              <w:jc w:val="center"/>
              <w:rPr>
                <w:rFonts w:ascii="Calibri" w:hAnsi="Calibri" w:cs="Calibri"/>
                <w:color w:val="auto"/>
                <w:kern w:val="0"/>
                <w:szCs w:val="21"/>
                <w:highlight w:val="none"/>
              </w:rPr>
            </w:pPr>
            <w:r>
              <w:rPr>
                <w:rFonts w:hint="eastAsia" w:ascii="宋体" w:hAnsi="宋体" w:cs="Calibri"/>
                <w:b/>
                <w:bCs/>
                <w:color w:val="auto"/>
                <w:kern w:val="0"/>
                <w:sz w:val="20"/>
                <w:szCs w:val="20"/>
                <w:highlight w:val="none"/>
              </w:rPr>
              <w:t>评</w:t>
            </w:r>
            <w:r>
              <w:rPr>
                <w:rFonts w:hint="eastAsia" w:ascii="宋体" w:hAnsi="宋体" w:cs="Calibri"/>
                <w:b/>
                <w:bCs/>
                <w:color w:val="auto"/>
                <w:kern w:val="0"/>
                <w:sz w:val="20"/>
                <w:szCs w:val="20"/>
                <w:highlight w:val="none"/>
                <w:lang w:eastAsia="zh-CN"/>
              </w:rPr>
              <w:t>审</w:t>
            </w:r>
            <w:r>
              <w:rPr>
                <w:rFonts w:hint="eastAsia" w:ascii="宋体" w:hAnsi="宋体" w:cs="Calibri"/>
                <w:b/>
                <w:bCs/>
                <w:color w:val="auto"/>
                <w:kern w:val="0"/>
                <w:sz w:val="20"/>
                <w:szCs w:val="20"/>
                <w:highlight w:val="none"/>
              </w:rPr>
              <w:t>标准</w:t>
            </w:r>
          </w:p>
        </w:tc>
        <w:tc>
          <w:tcPr>
            <w:tcW w:w="856" w:type="dxa"/>
            <w:noWrap w:val="0"/>
            <w:tcMar>
              <w:top w:w="15" w:type="dxa"/>
              <w:left w:w="15" w:type="dxa"/>
              <w:bottom w:w="0" w:type="dxa"/>
              <w:right w:w="15" w:type="dxa"/>
            </w:tcMar>
            <w:vAlign w:val="center"/>
          </w:tcPr>
          <w:p>
            <w:pPr>
              <w:widowControl/>
              <w:wordWrap w:val="0"/>
              <w:jc w:val="center"/>
              <w:rPr>
                <w:rFonts w:hint="eastAsia" w:ascii="宋体" w:hAnsi="宋体" w:cs="Calibri"/>
                <w:b/>
                <w:bCs/>
                <w:color w:val="auto"/>
                <w:kern w:val="0"/>
                <w:sz w:val="20"/>
                <w:szCs w:val="20"/>
                <w:highlight w:val="none"/>
                <w:lang w:eastAsia="zh-CN"/>
              </w:rPr>
            </w:pPr>
            <w:r>
              <w:rPr>
                <w:rFonts w:hint="eastAsia" w:ascii="宋体" w:hAnsi="宋体" w:cs="Calibri"/>
                <w:b/>
                <w:bCs/>
                <w:color w:val="auto"/>
                <w:kern w:val="0"/>
                <w:sz w:val="20"/>
                <w:szCs w:val="20"/>
                <w:highlight w:val="none"/>
                <w:lang w:eastAsia="zh-CN"/>
              </w:rPr>
              <w:t>评审</w:t>
            </w:r>
          </w:p>
          <w:p>
            <w:pPr>
              <w:widowControl/>
              <w:wordWrap w:val="0"/>
              <w:jc w:val="center"/>
              <w:rPr>
                <w:rFonts w:hint="eastAsia" w:ascii="Calibri" w:hAnsi="Calibri" w:eastAsia="宋体" w:cs="Calibri"/>
                <w:color w:val="auto"/>
                <w:kern w:val="0"/>
                <w:szCs w:val="21"/>
                <w:highlight w:val="none"/>
                <w:lang w:eastAsia="zh-CN"/>
              </w:rPr>
            </w:pPr>
            <w:r>
              <w:rPr>
                <w:rFonts w:hint="eastAsia" w:ascii="宋体" w:hAnsi="宋体" w:cs="Calibri"/>
                <w:b/>
                <w:bCs/>
                <w:color w:val="auto"/>
                <w:kern w:val="0"/>
                <w:sz w:val="20"/>
                <w:szCs w:val="20"/>
                <w:highlight w:val="none"/>
                <w:lang w:eastAsia="zh-CN"/>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890" w:type="dxa"/>
            <w:vMerge w:val="restart"/>
            <w:noWrap w:val="0"/>
            <w:tcMar>
              <w:top w:w="15" w:type="dxa"/>
              <w:left w:w="15" w:type="dxa"/>
              <w:bottom w:w="0" w:type="dxa"/>
              <w:right w:w="15" w:type="dxa"/>
            </w:tcMar>
            <w:vAlign w:val="center"/>
          </w:tcPr>
          <w:p>
            <w:pPr>
              <w:widowControl/>
              <w:wordWrap w:val="0"/>
              <w:jc w:val="center"/>
              <w:rPr>
                <w:rFonts w:hint="eastAsia"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1</w:t>
            </w:r>
          </w:p>
        </w:tc>
        <w:tc>
          <w:tcPr>
            <w:tcW w:w="1708" w:type="dxa"/>
            <w:vMerge w:val="restart"/>
            <w:noWrap w:val="0"/>
            <w:vAlign w:val="center"/>
          </w:tcPr>
          <w:p>
            <w:pPr>
              <w:spacing w:line="360" w:lineRule="exact"/>
              <w:ind w:left="105" w:right="105"/>
              <w:jc w:val="center"/>
              <w:rPr>
                <w:rFonts w:hint="eastAsia"/>
                <w:highlight w:val="none"/>
              </w:rPr>
            </w:pPr>
            <w:r>
              <w:rPr>
                <w:rFonts w:hint="eastAsia"/>
                <w:highlight w:val="none"/>
              </w:rPr>
              <w:t>施工方案与技术措施</w:t>
            </w:r>
          </w:p>
          <w:p>
            <w:pPr>
              <w:spacing w:line="360" w:lineRule="exact"/>
              <w:ind w:left="105" w:right="105"/>
              <w:jc w:val="center"/>
              <w:rPr>
                <w:rFonts w:hint="eastAsia" w:eastAsia="宋体"/>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30分</w:t>
            </w:r>
            <w:r>
              <w:rPr>
                <w:rFonts w:hint="eastAsia" w:ascii="宋体" w:hAnsi="宋体"/>
                <w:color w:val="auto"/>
                <w:szCs w:val="21"/>
                <w:highlight w:val="none"/>
                <w:lang w:eastAsia="zh-CN"/>
              </w:rPr>
              <w:t>）</w:t>
            </w:r>
          </w:p>
        </w:tc>
        <w:tc>
          <w:tcPr>
            <w:tcW w:w="5745" w:type="dxa"/>
            <w:noWrap w:val="0"/>
            <w:tcMar>
              <w:top w:w="15" w:type="dxa"/>
              <w:left w:w="15" w:type="dxa"/>
              <w:bottom w:w="0" w:type="dxa"/>
              <w:right w:w="15" w:type="dxa"/>
            </w:tcMar>
            <w:vAlign w:val="center"/>
          </w:tcPr>
          <w:p>
            <w:pPr>
              <w:spacing w:line="360" w:lineRule="exact"/>
              <w:ind w:left="105" w:right="105"/>
              <w:rPr>
                <w:rFonts w:hint="default" w:ascii="宋体" w:hAnsi="宋体" w:eastAsia="宋体"/>
                <w:color w:val="auto"/>
                <w:szCs w:val="21"/>
                <w:highlight w:val="none"/>
                <w:lang w:val="en-US" w:eastAsia="zh-CN"/>
              </w:rPr>
            </w:pPr>
            <w:r>
              <w:rPr>
                <w:rFonts w:hint="eastAsia" w:ascii="宋体" w:hAnsi="宋体"/>
                <w:color w:val="auto"/>
                <w:szCs w:val="21"/>
                <w:highlight w:val="none"/>
              </w:rPr>
              <w:t>项目总体概况表述清晰、完整；部署</w:t>
            </w:r>
            <w:r>
              <w:rPr>
                <w:rFonts w:hint="eastAsia" w:ascii="宋体" w:hAnsi="宋体"/>
                <w:color w:val="auto"/>
                <w:szCs w:val="21"/>
                <w:highlight w:val="none"/>
                <w:lang w:eastAsia="zh-CN"/>
              </w:rPr>
              <w:t>（人、材、机）</w:t>
            </w:r>
            <w:r>
              <w:rPr>
                <w:rFonts w:hint="eastAsia" w:ascii="宋体" w:hAnsi="宋体"/>
                <w:color w:val="auto"/>
                <w:szCs w:val="21"/>
                <w:highlight w:val="none"/>
              </w:rPr>
              <w:t>及措施先进、可靠；针对项目的重点、难点分析透彻，解决方案切实可行</w:t>
            </w:r>
            <w:r>
              <w:rPr>
                <w:rFonts w:hint="eastAsia" w:ascii="宋体" w:hAnsi="宋体"/>
                <w:color w:val="auto"/>
                <w:szCs w:val="21"/>
                <w:highlight w:val="none"/>
                <w:lang w:eastAsia="zh-CN"/>
              </w:rPr>
              <w:t>。</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26-30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6" w:hRule="atLeast"/>
          <w:jc w:val="center"/>
        </w:trPr>
        <w:tc>
          <w:tcPr>
            <w:tcW w:w="890" w:type="dxa"/>
            <w:vMerge w:val="continue"/>
            <w:noWrap w:val="0"/>
            <w:tcMar>
              <w:top w:w="15" w:type="dxa"/>
              <w:left w:w="15" w:type="dxa"/>
              <w:bottom w:w="0" w:type="dxa"/>
              <w:right w:w="15" w:type="dxa"/>
            </w:tcMar>
            <w:vAlign w:val="center"/>
          </w:tcPr>
          <w:p>
            <w:pPr>
              <w:widowControl/>
              <w:wordWrap w:val="0"/>
              <w:jc w:val="center"/>
              <w:rPr>
                <w:rFonts w:hint="eastAsia" w:ascii="宋体" w:hAnsi="宋体" w:cs="Calibri"/>
                <w:b w:val="0"/>
                <w:bCs w:val="0"/>
                <w:color w:val="auto"/>
                <w:kern w:val="0"/>
                <w:sz w:val="20"/>
                <w:szCs w:val="20"/>
                <w:highlight w:val="none"/>
              </w:rPr>
            </w:pPr>
          </w:p>
        </w:tc>
        <w:tc>
          <w:tcPr>
            <w:tcW w:w="1708" w:type="dxa"/>
            <w:vMerge w:val="continue"/>
            <w:noWrap w:val="0"/>
            <w:vAlign w:val="center"/>
          </w:tcPr>
          <w:p>
            <w:pPr>
              <w:spacing w:line="360" w:lineRule="exact"/>
              <w:ind w:left="105" w:right="105"/>
              <w:jc w:val="center"/>
              <w:rPr>
                <w:rFonts w:hint="eastAsia" w:ascii="宋体" w:hAnsi="宋体"/>
                <w:color w:val="auto"/>
                <w:szCs w:val="21"/>
                <w:highlight w:val="none"/>
              </w:rPr>
            </w:pPr>
          </w:p>
        </w:tc>
        <w:tc>
          <w:tcPr>
            <w:tcW w:w="5745" w:type="dxa"/>
            <w:noWrap w:val="0"/>
            <w:tcMar>
              <w:top w:w="15" w:type="dxa"/>
              <w:left w:w="15" w:type="dxa"/>
              <w:bottom w:w="0" w:type="dxa"/>
              <w:right w:w="15" w:type="dxa"/>
            </w:tcMar>
            <w:vAlign w:val="center"/>
          </w:tcPr>
          <w:p>
            <w:pPr>
              <w:spacing w:line="360" w:lineRule="exact"/>
              <w:ind w:left="105" w:right="105"/>
              <w:rPr>
                <w:rFonts w:hint="default" w:ascii="宋体" w:hAnsi="宋体" w:eastAsia="宋体"/>
                <w:color w:val="auto"/>
                <w:szCs w:val="21"/>
                <w:highlight w:val="none"/>
                <w:lang w:val="en-US" w:eastAsia="zh-CN"/>
              </w:rPr>
            </w:pPr>
            <w:r>
              <w:rPr>
                <w:rFonts w:hint="eastAsia" w:ascii="宋体" w:hAnsi="宋体"/>
                <w:color w:val="auto"/>
                <w:szCs w:val="21"/>
                <w:highlight w:val="none"/>
              </w:rPr>
              <w:t>项目总体概况表述</w:t>
            </w:r>
            <w:r>
              <w:rPr>
                <w:rFonts w:hint="eastAsia" w:ascii="宋体" w:hAnsi="宋体"/>
                <w:color w:val="auto"/>
                <w:szCs w:val="21"/>
                <w:highlight w:val="none"/>
                <w:lang w:eastAsia="zh-CN"/>
              </w:rPr>
              <w:t>较</w:t>
            </w:r>
            <w:r>
              <w:rPr>
                <w:rFonts w:hint="eastAsia" w:ascii="宋体" w:hAnsi="宋体"/>
                <w:color w:val="auto"/>
                <w:szCs w:val="21"/>
                <w:highlight w:val="none"/>
              </w:rPr>
              <w:t>清晰；部署</w:t>
            </w:r>
            <w:r>
              <w:rPr>
                <w:rFonts w:hint="eastAsia" w:ascii="宋体" w:hAnsi="宋体"/>
                <w:color w:val="auto"/>
                <w:szCs w:val="21"/>
                <w:highlight w:val="none"/>
                <w:lang w:eastAsia="zh-CN"/>
              </w:rPr>
              <w:t>（人、材、机）</w:t>
            </w:r>
            <w:r>
              <w:rPr>
                <w:rFonts w:hint="eastAsia" w:ascii="宋体" w:hAnsi="宋体"/>
                <w:color w:val="auto"/>
                <w:szCs w:val="21"/>
                <w:highlight w:val="none"/>
              </w:rPr>
              <w:t>及措施</w:t>
            </w:r>
            <w:r>
              <w:rPr>
                <w:rFonts w:hint="eastAsia" w:ascii="宋体" w:hAnsi="宋体"/>
                <w:color w:val="auto"/>
                <w:szCs w:val="21"/>
                <w:highlight w:val="none"/>
                <w:lang w:eastAsia="zh-CN"/>
              </w:rPr>
              <w:t>基本可行</w:t>
            </w:r>
            <w:r>
              <w:rPr>
                <w:rFonts w:hint="eastAsia" w:ascii="宋体" w:hAnsi="宋体"/>
                <w:color w:val="auto"/>
                <w:szCs w:val="21"/>
                <w:highlight w:val="none"/>
              </w:rPr>
              <w:t>；针对项目的重点、难点分析</w:t>
            </w:r>
            <w:r>
              <w:rPr>
                <w:rFonts w:hint="eastAsia" w:ascii="宋体" w:hAnsi="宋体"/>
                <w:color w:val="auto"/>
                <w:szCs w:val="21"/>
                <w:highlight w:val="none"/>
                <w:lang w:eastAsia="zh-CN"/>
              </w:rPr>
              <w:t>较</w:t>
            </w:r>
            <w:r>
              <w:rPr>
                <w:rFonts w:hint="eastAsia" w:ascii="宋体" w:hAnsi="宋体"/>
                <w:color w:val="auto"/>
                <w:szCs w:val="21"/>
                <w:highlight w:val="none"/>
              </w:rPr>
              <w:t>透彻，解决方案</w:t>
            </w:r>
            <w:r>
              <w:rPr>
                <w:rFonts w:hint="eastAsia" w:ascii="宋体" w:hAnsi="宋体"/>
                <w:color w:val="auto"/>
                <w:szCs w:val="21"/>
                <w:highlight w:val="none"/>
                <w:lang w:eastAsia="zh-CN"/>
              </w:rPr>
              <w:t>基本可行。</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21-25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jc w:val="center"/>
        </w:trPr>
        <w:tc>
          <w:tcPr>
            <w:tcW w:w="890" w:type="dxa"/>
            <w:vMerge w:val="continue"/>
            <w:noWrap w:val="0"/>
            <w:tcMar>
              <w:top w:w="15" w:type="dxa"/>
              <w:left w:w="15" w:type="dxa"/>
              <w:bottom w:w="0" w:type="dxa"/>
              <w:right w:w="15" w:type="dxa"/>
            </w:tcMar>
            <w:vAlign w:val="center"/>
          </w:tcPr>
          <w:p>
            <w:pPr>
              <w:widowControl/>
              <w:wordWrap w:val="0"/>
              <w:jc w:val="center"/>
              <w:rPr>
                <w:rFonts w:hint="eastAsia" w:ascii="宋体" w:hAnsi="宋体" w:cs="Calibri"/>
                <w:b w:val="0"/>
                <w:bCs w:val="0"/>
                <w:color w:val="auto"/>
                <w:kern w:val="0"/>
                <w:sz w:val="20"/>
                <w:szCs w:val="20"/>
                <w:highlight w:val="none"/>
              </w:rPr>
            </w:pPr>
          </w:p>
        </w:tc>
        <w:tc>
          <w:tcPr>
            <w:tcW w:w="1708" w:type="dxa"/>
            <w:vMerge w:val="continue"/>
            <w:noWrap w:val="0"/>
            <w:vAlign w:val="center"/>
          </w:tcPr>
          <w:p>
            <w:pPr>
              <w:spacing w:line="360" w:lineRule="exact"/>
              <w:ind w:left="105" w:right="105"/>
              <w:jc w:val="center"/>
              <w:rPr>
                <w:rFonts w:hint="eastAsia" w:ascii="宋体" w:hAnsi="宋体"/>
                <w:color w:val="auto"/>
                <w:szCs w:val="21"/>
                <w:highlight w:val="none"/>
              </w:rPr>
            </w:pPr>
          </w:p>
        </w:tc>
        <w:tc>
          <w:tcPr>
            <w:tcW w:w="5745" w:type="dxa"/>
            <w:noWrap w:val="0"/>
            <w:tcMar>
              <w:top w:w="15" w:type="dxa"/>
              <w:left w:w="15" w:type="dxa"/>
              <w:bottom w:w="0" w:type="dxa"/>
              <w:right w:w="15" w:type="dxa"/>
            </w:tcMar>
            <w:vAlign w:val="center"/>
          </w:tcPr>
          <w:p>
            <w:pPr>
              <w:spacing w:line="360" w:lineRule="exact"/>
              <w:ind w:left="105" w:right="105"/>
              <w:rPr>
                <w:rFonts w:hint="eastAsia" w:ascii="宋体" w:hAnsi="宋体" w:eastAsia="宋体"/>
                <w:b/>
                <w:bCs/>
                <w:color w:val="auto"/>
                <w:szCs w:val="21"/>
                <w:highlight w:val="none"/>
                <w:lang w:eastAsia="zh-CN"/>
              </w:rPr>
            </w:pPr>
            <w:r>
              <w:rPr>
                <w:rFonts w:hint="eastAsia" w:ascii="宋体" w:hAnsi="宋体"/>
                <w:color w:val="auto"/>
                <w:szCs w:val="21"/>
                <w:highlight w:val="none"/>
              </w:rPr>
              <w:t>项目总体概况表述</w:t>
            </w:r>
            <w:r>
              <w:rPr>
                <w:rFonts w:hint="eastAsia" w:ascii="宋体" w:hAnsi="宋体"/>
                <w:color w:val="auto"/>
                <w:szCs w:val="21"/>
                <w:highlight w:val="none"/>
                <w:lang w:eastAsia="zh-CN"/>
              </w:rPr>
              <w:t>欠</w:t>
            </w:r>
            <w:r>
              <w:rPr>
                <w:rFonts w:hint="eastAsia" w:ascii="宋体" w:hAnsi="宋体"/>
                <w:color w:val="auto"/>
                <w:szCs w:val="21"/>
                <w:highlight w:val="none"/>
              </w:rPr>
              <w:t>清晰；部署</w:t>
            </w:r>
            <w:r>
              <w:rPr>
                <w:rFonts w:hint="eastAsia" w:ascii="宋体" w:hAnsi="宋体"/>
                <w:color w:val="auto"/>
                <w:szCs w:val="21"/>
                <w:highlight w:val="none"/>
                <w:lang w:eastAsia="zh-CN"/>
              </w:rPr>
              <w:t>（人、材、机）</w:t>
            </w:r>
            <w:r>
              <w:rPr>
                <w:rFonts w:hint="eastAsia" w:ascii="宋体" w:hAnsi="宋体"/>
                <w:color w:val="auto"/>
                <w:szCs w:val="21"/>
                <w:highlight w:val="none"/>
              </w:rPr>
              <w:t>及措施</w:t>
            </w:r>
            <w:r>
              <w:rPr>
                <w:rFonts w:hint="eastAsia" w:ascii="宋体" w:hAnsi="宋体"/>
                <w:color w:val="auto"/>
                <w:szCs w:val="21"/>
                <w:highlight w:val="none"/>
                <w:lang w:eastAsia="zh-CN"/>
              </w:rPr>
              <w:t>欠合理</w:t>
            </w:r>
            <w:r>
              <w:rPr>
                <w:rFonts w:hint="eastAsia" w:ascii="宋体" w:hAnsi="宋体"/>
                <w:color w:val="auto"/>
                <w:szCs w:val="21"/>
                <w:highlight w:val="none"/>
              </w:rPr>
              <w:t>；针对项目的重点、难点分析</w:t>
            </w:r>
            <w:r>
              <w:rPr>
                <w:rFonts w:hint="eastAsia" w:ascii="宋体" w:hAnsi="宋体"/>
                <w:color w:val="auto"/>
                <w:szCs w:val="21"/>
                <w:highlight w:val="none"/>
                <w:lang w:eastAsia="zh-CN"/>
              </w:rPr>
              <w:t>不</w:t>
            </w:r>
            <w:r>
              <w:rPr>
                <w:rFonts w:hint="eastAsia" w:ascii="宋体" w:hAnsi="宋体"/>
                <w:color w:val="auto"/>
                <w:szCs w:val="21"/>
                <w:highlight w:val="none"/>
              </w:rPr>
              <w:t>透彻，解决方案</w:t>
            </w:r>
            <w:r>
              <w:rPr>
                <w:rFonts w:hint="eastAsia" w:ascii="宋体" w:hAnsi="宋体"/>
                <w:color w:val="auto"/>
                <w:szCs w:val="21"/>
                <w:highlight w:val="none"/>
                <w:lang w:eastAsia="zh-CN"/>
              </w:rPr>
              <w:t>欠合理。</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4" w:hRule="atLeast"/>
          <w:jc w:val="center"/>
        </w:trPr>
        <w:tc>
          <w:tcPr>
            <w:tcW w:w="890" w:type="dxa"/>
            <w:vMerge w:val="restart"/>
            <w:noWrap w:val="0"/>
            <w:tcMar>
              <w:top w:w="15" w:type="dxa"/>
              <w:left w:w="15" w:type="dxa"/>
              <w:bottom w:w="0" w:type="dxa"/>
              <w:right w:w="15" w:type="dxa"/>
            </w:tcMar>
            <w:vAlign w:val="center"/>
          </w:tcPr>
          <w:p>
            <w:pPr>
              <w:widowControl/>
              <w:wordWrap w:val="0"/>
              <w:jc w:val="center"/>
              <w:rPr>
                <w:rFonts w:hint="eastAsia"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2</w:t>
            </w:r>
          </w:p>
        </w:tc>
        <w:tc>
          <w:tcPr>
            <w:tcW w:w="1708" w:type="dxa"/>
            <w:vMerge w:val="restart"/>
            <w:noWrap w:val="0"/>
            <w:vAlign w:val="center"/>
          </w:tcPr>
          <w:p>
            <w:pPr>
              <w:spacing w:line="360" w:lineRule="exact"/>
              <w:ind w:left="105" w:right="105"/>
              <w:jc w:val="center"/>
              <w:rPr>
                <w:rFonts w:hint="eastAsia"/>
                <w:highlight w:val="none"/>
              </w:rPr>
            </w:pPr>
            <w:r>
              <w:rPr>
                <w:rFonts w:hint="eastAsia"/>
                <w:highlight w:val="none"/>
              </w:rPr>
              <w:t>质量管理体系与措施</w:t>
            </w:r>
          </w:p>
          <w:p>
            <w:pPr>
              <w:spacing w:line="360" w:lineRule="exact"/>
              <w:ind w:left="105" w:right="105"/>
              <w:jc w:val="center"/>
              <w:rPr>
                <w:rFonts w:hint="eastAsia" w:eastAsia="宋体"/>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20分</w:t>
            </w:r>
            <w:r>
              <w:rPr>
                <w:rFonts w:hint="eastAsia" w:ascii="宋体" w:hAnsi="宋体"/>
                <w:color w:val="auto"/>
                <w:szCs w:val="21"/>
                <w:highlight w:val="none"/>
                <w:lang w:eastAsia="zh-CN"/>
              </w:rPr>
              <w:t>）</w:t>
            </w:r>
          </w:p>
        </w:tc>
        <w:tc>
          <w:tcPr>
            <w:tcW w:w="5745" w:type="dxa"/>
            <w:noWrap w:val="0"/>
            <w:tcMar>
              <w:top w:w="15" w:type="dxa"/>
              <w:left w:w="15" w:type="dxa"/>
              <w:bottom w:w="0" w:type="dxa"/>
              <w:right w:w="15" w:type="dxa"/>
            </w:tcMar>
            <w:vAlign w:val="center"/>
          </w:tcPr>
          <w:p>
            <w:pPr>
              <w:spacing w:line="360" w:lineRule="exact"/>
              <w:ind w:left="105" w:right="105"/>
              <w:rPr>
                <w:rFonts w:hint="eastAsia" w:ascii="宋体" w:hAnsi="宋体"/>
                <w:color w:val="auto"/>
                <w:szCs w:val="21"/>
                <w:highlight w:val="none"/>
              </w:rPr>
            </w:pPr>
            <w:r>
              <w:rPr>
                <w:rFonts w:hint="eastAsia" w:ascii="宋体" w:hAnsi="宋体"/>
                <w:color w:val="auto"/>
                <w:szCs w:val="21"/>
                <w:highlight w:val="none"/>
              </w:rPr>
              <w:t>质量目标</w:t>
            </w:r>
            <w:r>
              <w:rPr>
                <w:rFonts w:hint="eastAsia" w:ascii="宋体" w:hAnsi="宋体"/>
                <w:color w:val="auto"/>
                <w:szCs w:val="21"/>
                <w:highlight w:val="none"/>
                <w:lang w:eastAsia="zh-CN"/>
              </w:rPr>
              <w:t>表述清晰、</w:t>
            </w:r>
            <w:r>
              <w:rPr>
                <w:rFonts w:hint="eastAsia" w:ascii="宋体" w:hAnsi="宋体"/>
                <w:color w:val="auto"/>
                <w:szCs w:val="21"/>
                <w:highlight w:val="none"/>
              </w:rPr>
              <w:t>明确，优于</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的要求；管理机构健全，职责分工明确；管理制度齐全；实施与监控措施全面、有效</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质保期故障修复时间优于用户需求书要求。</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3" w:hRule="atLeast"/>
          <w:jc w:val="center"/>
        </w:trPr>
        <w:tc>
          <w:tcPr>
            <w:tcW w:w="890" w:type="dxa"/>
            <w:vMerge w:val="continue"/>
            <w:noWrap w:val="0"/>
            <w:tcMar>
              <w:top w:w="15" w:type="dxa"/>
              <w:left w:w="15" w:type="dxa"/>
              <w:bottom w:w="0" w:type="dxa"/>
              <w:right w:w="15" w:type="dxa"/>
            </w:tcMar>
            <w:vAlign w:val="center"/>
          </w:tcPr>
          <w:p>
            <w:pPr>
              <w:widowControl/>
              <w:wordWrap w:val="0"/>
              <w:jc w:val="center"/>
              <w:rPr>
                <w:rFonts w:hint="eastAsia" w:ascii="宋体" w:hAnsi="宋体" w:cs="Calibri"/>
                <w:b w:val="0"/>
                <w:bCs w:val="0"/>
                <w:color w:val="auto"/>
                <w:kern w:val="0"/>
                <w:sz w:val="20"/>
                <w:szCs w:val="20"/>
                <w:highlight w:val="none"/>
              </w:rPr>
            </w:pPr>
          </w:p>
        </w:tc>
        <w:tc>
          <w:tcPr>
            <w:tcW w:w="1708" w:type="dxa"/>
            <w:vMerge w:val="continue"/>
            <w:noWrap w:val="0"/>
            <w:vAlign w:val="center"/>
          </w:tcPr>
          <w:p>
            <w:pPr>
              <w:spacing w:line="360" w:lineRule="exact"/>
              <w:ind w:left="105" w:right="105"/>
              <w:jc w:val="center"/>
              <w:rPr>
                <w:rFonts w:hint="eastAsia" w:ascii="宋体" w:hAnsi="宋体"/>
                <w:color w:val="auto"/>
                <w:szCs w:val="21"/>
                <w:highlight w:val="none"/>
              </w:rPr>
            </w:pPr>
          </w:p>
        </w:tc>
        <w:tc>
          <w:tcPr>
            <w:tcW w:w="5745" w:type="dxa"/>
            <w:noWrap w:val="0"/>
            <w:tcMar>
              <w:top w:w="15" w:type="dxa"/>
              <w:left w:w="15" w:type="dxa"/>
              <w:bottom w:w="0" w:type="dxa"/>
              <w:right w:w="15" w:type="dxa"/>
            </w:tcMar>
            <w:vAlign w:val="center"/>
          </w:tcPr>
          <w:p>
            <w:pPr>
              <w:spacing w:line="360" w:lineRule="exact"/>
              <w:ind w:left="105" w:right="105"/>
              <w:rPr>
                <w:rFonts w:hint="eastAsia" w:ascii="宋体" w:hAnsi="宋体"/>
                <w:color w:val="auto"/>
                <w:szCs w:val="21"/>
                <w:highlight w:val="none"/>
              </w:rPr>
            </w:pPr>
            <w:r>
              <w:rPr>
                <w:rFonts w:hint="eastAsia" w:ascii="宋体" w:hAnsi="宋体"/>
                <w:color w:val="auto"/>
                <w:szCs w:val="21"/>
                <w:highlight w:val="none"/>
              </w:rPr>
              <w:t>质量目标</w:t>
            </w:r>
            <w:r>
              <w:rPr>
                <w:rFonts w:hint="eastAsia" w:ascii="宋体" w:hAnsi="宋体"/>
                <w:color w:val="auto"/>
                <w:szCs w:val="21"/>
                <w:highlight w:val="none"/>
                <w:lang w:eastAsia="zh-CN"/>
              </w:rPr>
              <w:t>表述较清晰</w:t>
            </w:r>
            <w:r>
              <w:rPr>
                <w:rFonts w:hint="eastAsia" w:ascii="宋体" w:hAnsi="宋体"/>
                <w:color w:val="auto"/>
                <w:szCs w:val="21"/>
                <w:highlight w:val="none"/>
              </w:rPr>
              <w:t>，</w:t>
            </w:r>
            <w:r>
              <w:rPr>
                <w:rFonts w:hint="eastAsia" w:ascii="宋体" w:hAnsi="宋体"/>
                <w:color w:val="auto"/>
                <w:szCs w:val="21"/>
                <w:highlight w:val="none"/>
                <w:lang w:eastAsia="zh-CN"/>
              </w:rPr>
              <w:t>满足</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的要求；管理机构</w:t>
            </w:r>
            <w:r>
              <w:rPr>
                <w:rFonts w:hint="eastAsia" w:ascii="宋体" w:hAnsi="宋体"/>
                <w:color w:val="auto"/>
                <w:szCs w:val="21"/>
                <w:highlight w:val="none"/>
                <w:lang w:eastAsia="zh-CN"/>
              </w:rPr>
              <w:t>较全面</w:t>
            </w:r>
            <w:r>
              <w:rPr>
                <w:rFonts w:hint="eastAsia" w:ascii="宋体" w:hAnsi="宋体"/>
                <w:color w:val="auto"/>
                <w:szCs w:val="21"/>
                <w:highlight w:val="none"/>
              </w:rPr>
              <w:t>，职责分工</w:t>
            </w:r>
            <w:r>
              <w:rPr>
                <w:rFonts w:hint="eastAsia" w:ascii="宋体" w:hAnsi="宋体"/>
                <w:color w:val="auto"/>
                <w:szCs w:val="21"/>
                <w:highlight w:val="none"/>
                <w:lang w:eastAsia="zh-CN"/>
              </w:rPr>
              <w:t>较</w:t>
            </w:r>
            <w:r>
              <w:rPr>
                <w:rFonts w:hint="eastAsia" w:ascii="宋体" w:hAnsi="宋体"/>
                <w:color w:val="auto"/>
                <w:szCs w:val="21"/>
                <w:highlight w:val="none"/>
              </w:rPr>
              <w:t>明确；管理制度</w:t>
            </w:r>
            <w:r>
              <w:rPr>
                <w:rFonts w:hint="eastAsia" w:ascii="宋体" w:hAnsi="宋体"/>
                <w:color w:val="auto"/>
                <w:szCs w:val="21"/>
                <w:highlight w:val="none"/>
                <w:lang w:eastAsia="zh-CN"/>
              </w:rPr>
              <w:t>较</w:t>
            </w:r>
            <w:r>
              <w:rPr>
                <w:rFonts w:hint="eastAsia" w:ascii="宋体" w:hAnsi="宋体"/>
                <w:color w:val="auto"/>
                <w:szCs w:val="21"/>
                <w:highlight w:val="none"/>
              </w:rPr>
              <w:t>齐全；实施与监控措施</w:t>
            </w:r>
            <w:r>
              <w:rPr>
                <w:rFonts w:hint="eastAsia" w:ascii="宋体" w:hAnsi="宋体"/>
                <w:color w:val="auto"/>
                <w:szCs w:val="21"/>
                <w:highlight w:val="none"/>
                <w:lang w:eastAsia="zh-CN"/>
              </w:rPr>
              <w:t>基本可行；</w:t>
            </w:r>
            <w:r>
              <w:rPr>
                <w:rFonts w:hint="eastAsia" w:ascii="宋体" w:hAnsi="宋体"/>
                <w:color w:val="auto"/>
                <w:szCs w:val="21"/>
                <w:highlight w:val="none"/>
                <w:lang w:val="en-US" w:eastAsia="zh-CN"/>
              </w:rPr>
              <w:t>质保期故障修复时间满足用户需求书要求。</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jc w:val="center"/>
        </w:trPr>
        <w:tc>
          <w:tcPr>
            <w:tcW w:w="890" w:type="dxa"/>
            <w:vMerge w:val="restart"/>
            <w:noWrap w:val="0"/>
            <w:tcMar>
              <w:top w:w="15" w:type="dxa"/>
              <w:left w:w="15" w:type="dxa"/>
              <w:bottom w:w="0" w:type="dxa"/>
              <w:right w:w="15" w:type="dxa"/>
            </w:tcMar>
            <w:vAlign w:val="center"/>
          </w:tcPr>
          <w:p>
            <w:pPr>
              <w:widowControl/>
              <w:wordWrap w:val="0"/>
              <w:jc w:val="center"/>
              <w:rPr>
                <w:rFonts w:hint="eastAsia"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3</w:t>
            </w:r>
          </w:p>
        </w:tc>
        <w:tc>
          <w:tcPr>
            <w:tcW w:w="1708" w:type="dxa"/>
            <w:vMerge w:val="restart"/>
            <w:noWrap w:val="0"/>
            <w:vAlign w:val="center"/>
          </w:tcPr>
          <w:p>
            <w:pPr>
              <w:spacing w:line="360" w:lineRule="exact"/>
              <w:ind w:left="105" w:right="105"/>
              <w:jc w:val="center"/>
              <w:rPr>
                <w:rFonts w:hint="eastAsia" w:ascii="宋体" w:hAnsi="宋体"/>
                <w:color w:val="auto"/>
                <w:szCs w:val="21"/>
                <w:highlight w:val="none"/>
              </w:rPr>
            </w:pPr>
            <w:r>
              <w:rPr>
                <w:rFonts w:hint="eastAsia" w:ascii="宋体" w:hAnsi="宋体"/>
                <w:color w:val="auto"/>
                <w:szCs w:val="21"/>
                <w:highlight w:val="none"/>
              </w:rPr>
              <w:t>安全管理体系与措施</w:t>
            </w:r>
          </w:p>
          <w:p>
            <w:pPr>
              <w:spacing w:line="360" w:lineRule="exact"/>
              <w:ind w:left="105" w:right="105"/>
              <w:jc w:val="center"/>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20分</w:t>
            </w:r>
            <w:r>
              <w:rPr>
                <w:rFonts w:hint="eastAsia" w:ascii="宋体" w:hAnsi="宋体"/>
                <w:color w:val="auto"/>
                <w:szCs w:val="21"/>
                <w:highlight w:val="none"/>
                <w:lang w:eastAsia="zh-CN"/>
              </w:rPr>
              <w:t>）</w:t>
            </w:r>
          </w:p>
        </w:tc>
        <w:tc>
          <w:tcPr>
            <w:tcW w:w="5745" w:type="dxa"/>
            <w:noWrap w:val="0"/>
            <w:tcMar>
              <w:top w:w="15" w:type="dxa"/>
              <w:left w:w="15" w:type="dxa"/>
              <w:bottom w:w="0" w:type="dxa"/>
              <w:right w:w="15" w:type="dxa"/>
            </w:tcMar>
            <w:vAlign w:val="center"/>
          </w:tcPr>
          <w:p>
            <w:pPr>
              <w:spacing w:line="360" w:lineRule="exact"/>
              <w:ind w:left="105" w:right="105"/>
              <w:rPr>
                <w:rFonts w:hint="eastAsia" w:ascii="宋体" w:hAnsi="宋体"/>
                <w:color w:val="auto"/>
                <w:szCs w:val="21"/>
                <w:highlight w:val="none"/>
              </w:rPr>
            </w:pPr>
            <w:r>
              <w:rPr>
                <w:rFonts w:hint="eastAsia" w:ascii="宋体" w:hAnsi="宋体"/>
                <w:color w:val="auto"/>
                <w:szCs w:val="21"/>
                <w:highlight w:val="none"/>
              </w:rPr>
              <w:t>安全目标</w:t>
            </w:r>
            <w:r>
              <w:rPr>
                <w:rFonts w:hint="eastAsia" w:ascii="宋体" w:hAnsi="宋体"/>
                <w:color w:val="auto"/>
                <w:szCs w:val="21"/>
                <w:highlight w:val="none"/>
                <w:lang w:eastAsia="zh-CN"/>
              </w:rPr>
              <w:t>表述清晰、</w:t>
            </w:r>
            <w:r>
              <w:rPr>
                <w:rFonts w:hint="eastAsia" w:ascii="宋体" w:hAnsi="宋体"/>
                <w:color w:val="auto"/>
                <w:szCs w:val="21"/>
                <w:highlight w:val="none"/>
              </w:rPr>
              <w:t>明确，优于</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的要求；管理机构健全，职责分工明确；管理制度齐全；实施与监控措施全面、有效。</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bidi="ar-SA"/>
              </w:rPr>
            </w:pPr>
            <w:r>
              <w:rPr>
                <w:rFonts w:hint="eastAsia" w:ascii="宋体" w:hAnsi="宋体" w:cs="Calibri"/>
                <w:b w:val="0"/>
                <w:bCs w:val="0"/>
                <w:color w:val="auto"/>
                <w:kern w:val="0"/>
                <w:sz w:val="20"/>
                <w:szCs w:val="20"/>
                <w:highlight w:val="none"/>
                <w:lang w:val="en-US" w:eastAsia="zh-CN"/>
              </w:rPr>
              <w:t>16-20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jc w:val="center"/>
        </w:trPr>
        <w:tc>
          <w:tcPr>
            <w:tcW w:w="890" w:type="dxa"/>
            <w:vMerge w:val="continue"/>
            <w:noWrap w:val="0"/>
            <w:tcMar>
              <w:top w:w="15" w:type="dxa"/>
              <w:left w:w="15" w:type="dxa"/>
              <w:bottom w:w="0" w:type="dxa"/>
              <w:right w:w="15" w:type="dxa"/>
            </w:tcMar>
            <w:vAlign w:val="center"/>
          </w:tcPr>
          <w:p>
            <w:pPr>
              <w:widowControl/>
              <w:wordWrap w:val="0"/>
              <w:jc w:val="center"/>
              <w:rPr>
                <w:rFonts w:hint="eastAsia" w:ascii="宋体" w:hAnsi="宋体" w:cs="Calibri"/>
                <w:b w:val="0"/>
                <w:bCs w:val="0"/>
                <w:color w:val="auto"/>
                <w:kern w:val="0"/>
                <w:sz w:val="20"/>
                <w:szCs w:val="20"/>
                <w:highlight w:val="none"/>
              </w:rPr>
            </w:pPr>
          </w:p>
        </w:tc>
        <w:tc>
          <w:tcPr>
            <w:tcW w:w="1708" w:type="dxa"/>
            <w:vMerge w:val="continue"/>
            <w:noWrap w:val="0"/>
            <w:vAlign w:val="center"/>
          </w:tcPr>
          <w:p>
            <w:pPr>
              <w:spacing w:line="360" w:lineRule="exact"/>
              <w:ind w:left="105" w:right="105"/>
              <w:jc w:val="center"/>
              <w:rPr>
                <w:rFonts w:hint="eastAsia" w:ascii="宋体" w:hAnsi="宋体"/>
                <w:color w:val="auto"/>
                <w:szCs w:val="21"/>
                <w:highlight w:val="none"/>
              </w:rPr>
            </w:pPr>
          </w:p>
        </w:tc>
        <w:tc>
          <w:tcPr>
            <w:tcW w:w="5745" w:type="dxa"/>
            <w:noWrap w:val="0"/>
            <w:tcMar>
              <w:top w:w="15" w:type="dxa"/>
              <w:left w:w="15" w:type="dxa"/>
              <w:bottom w:w="0" w:type="dxa"/>
              <w:right w:w="15" w:type="dxa"/>
            </w:tcMar>
            <w:vAlign w:val="center"/>
          </w:tcPr>
          <w:p>
            <w:pPr>
              <w:spacing w:line="360" w:lineRule="exact"/>
              <w:ind w:left="105" w:right="105"/>
              <w:rPr>
                <w:rFonts w:hint="eastAsia" w:ascii="宋体" w:hAnsi="宋体"/>
                <w:color w:val="auto"/>
                <w:szCs w:val="21"/>
                <w:highlight w:val="none"/>
              </w:rPr>
            </w:pPr>
            <w:r>
              <w:rPr>
                <w:rFonts w:hint="eastAsia" w:ascii="宋体" w:hAnsi="宋体"/>
                <w:color w:val="auto"/>
                <w:szCs w:val="21"/>
                <w:highlight w:val="none"/>
              </w:rPr>
              <w:t>安全目标</w:t>
            </w:r>
            <w:r>
              <w:rPr>
                <w:rFonts w:hint="eastAsia" w:ascii="宋体" w:hAnsi="宋体"/>
                <w:color w:val="auto"/>
                <w:szCs w:val="21"/>
                <w:highlight w:val="none"/>
                <w:lang w:eastAsia="zh-CN"/>
              </w:rPr>
              <w:t>表述较清晰</w:t>
            </w:r>
            <w:r>
              <w:rPr>
                <w:rFonts w:hint="eastAsia" w:ascii="宋体" w:hAnsi="宋体"/>
                <w:color w:val="auto"/>
                <w:szCs w:val="21"/>
                <w:highlight w:val="none"/>
              </w:rPr>
              <w:t>，</w:t>
            </w:r>
            <w:r>
              <w:rPr>
                <w:rFonts w:hint="eastAsia" w:ascii="宋体" w:hAnsi="宋体"/>
                <w:color w:val="auto"/>
                <w:szCs w:val="21"/>
                <w:highlight w:val="none"/>
                <w:lang w:eastAsia="zh-CN"/>
              </w:rPr>
              <w:t>满足</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的要求；管理机构</w:t>
            </w:r>
            <w:r>
              <w:rPr>
                <w:rFonts w:hint="eastAsia" w:ascii="宋体" w:hAnsi="宋体"/>
                <w:color w:val="auto"/>
                <w:szCs w:val="21"/>
                <w:highlight w:val="none"/>
                <w:lang w:eastAsia="zh-CN"/>
              </w:rPr>
              <w:t>较全面</w:t>
            </w:r>
            <w:r>
              <w:rPr>
                <w:rFonts w:hint="eastAsia" w:ascii="宋体" w:hAnsi="宋体"/>
                <w:color w:val="auto"/>
                <w:szCs w:val="21"/>
                <w:highlight w:val="none"/>
              </w:rPr>
              <w:t>，职责分工</w:t>
            </w:r>
            <w:r>
              <w:rPr>
                <w:rFonts w:hint="eastAsia" w:ascii="宋体" w:hAnsi="宋体"/>
                <w:color w:val="auto"/>
                <w:szCs w:val="21"/>
                <w:highlight w:val="none"/>
                <w:lang w:eastAsia="zh-CN"/>
              </w:rPr>
              <w:t>较</w:t>
            </w:r>
            <w:r>
              <w:rPr>
                <w:rFonts w:hint="eastAsia" w:ascii="宋体" w:hAnsi="宋体"/>
                <w:color w:val="auto"/>
                <w:szCs w:val="21"/>
                <w:highlight w:val="none"/>
              </w:rPr>
              <w:t>明确；管理制度</w:t>
            </w:r>
            <w:r>
              <w:rPr>
                <w:rFonts w:hint="eastAsia" w:ascii="宋体" w:hAnsi="宋体"/>
                <w:color w:val="auto"/>
                <w:szCs w:val="21"/>
                <w:highlight w:val="none"/>
                <w:lang w:eastAsia="zh-CN"/>
              </w:rPr>
              <w:t>较</w:t>
            </w:r>
            <w:r>
              <w:rPr>
                <w:rFonts w:hint="eastAsia" w:ascii="宋体" w:hAnsi="宋体"/>
                <w:color w:val="auto"/>
                <w:szCs w:val="21"/>
                <w:highlight w:val="none"/>
              </w:rPr>
              <w:t>齐全；实施与监控措施</w:t>
            </w:r>
            <w:r>
              <w:rPr>
                <w:rFonts w:hint="eastAsia" w:ascii="宋体" w:hAnsi="宋体"/>
                <w:color w:val="auto"/>
                <w:szCs w:val="21"/>
                <w:highlight w:val="none"/>
                <w:lang w:eastAsia="zh-CN"/>
              </w:rPr>
              <w:t>基本可行</w:t>
            </w:r>
            <w:r>
              <w:rPr>
                <w:rFonts w:hint="eastAsia" w:ascii="宋体" w:hAnsi="宋体"/>
                <w:color w:val="auto"/>
                <w:szCs w:val="21"/>
                <w:highlight w:val="none"/>
              </w:rPr>
              <w:t>。</w:t>
            </w:r>
          </w:p>
        </w:tc>
        <w:tc>
          <w:tcPr>
            <w:tcW w:w="856" w:type="dxa"/>
            <w:noWrap w:val="0"/>
            <w:tcMar>
              <w:top w:w="15" w:type="dxa"/>
              <w:left w:w="15" w:type="dxa"/>
              <w:bottom w:w="0" w:type="dxa"/>
              <w:right w:w="15" w:type="dxa"/>
            </w:tcMar>
            <w:vAlign w:val="center"/>
          </w:tcPr>
          <w:p>
            <w:pPr>
              <w:widowControl/>
              <w:wordWrap w:val="0"/>
              <w:jc w:val="center"/>
              <w:rPr>
                <w:rFonts w:hint="eastAsia" w:ascii="宋体" w:hAnsi="宋体" w:eastAsia="宋体" w:cs="Calibri"/>
                <w:b w:val="0"/>
                <w:bCs w:val="0"/>
                <w:color w:val="auto"/>
                <w:kern w:val="0"/>
                <w:sz w:val="20"/>
                <w:szCs w:val="20"/>
                <w:highlight w:val="none"/>
                <w:lang w:val="en-US" w:eastAsia="zh-CN" w:bidi="ar-SA"/>
              </w:rPr>
            </w:pPr>
            <w:r>
              <w:rPr>
                <w:rFonts w:hint="eastAsia" w:ascii="宋体" w:hAnsi="宋体" w:cs="Calibri"/>
                <w:b w:val="0"/>
                <w:bCs w:val="0"/>
                <w:color w:val="auto"/>
                <w:kern w:val="0"/>
                <w:sz w:val="20"/>
                <w:szCs w:val="20"/>
                <w:highlight w:val="none"/>
                <w:lang w:val="en-US" w:eastAsia="zh-CN"/>
              </w:rPr>
              <w:t>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890" w:type="dxa"/>
            <w:vMerge w:val="restart"/>
            <w:noWrap w:val="0"/>
            <w:tcMar>
              <w:top w:w="15" w:type="dxa"/>
              <w:left w:w="15" w:type="dxa"/>
              <w:bottom w:w="0" w:type="dxa"/>
              <w:right w:w="15" w:type="dxa"/>
            </w:tcMar>
            <w:vAlign w:val="center"/>
          </w:tcPr>
          <w:p>
            <w:pPr>
              <w:widowControl/>
              <w:wordWrap w:val="0"/>
              <w:jc w:val="center"/>
              <w:rPr>
                <w:rFonts w:hint="eastAsia"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4</w:t>
            </w:r>
          </w:p>
        </w:tc>
        <w:tc>
          <w:tcPr>
            <w:tcW w:w="1708" w:type="dxa"/>
            <w:vMerge w:val="restart"/>
            <w:noWrap w:val="0"/>
            <w:vAlign w:val="center"/>
          </w:tcPr>
          <w:p>
            <w:pPr>
              <w:spacing w:line="360" w:lineRule="exact"/>
              <w:ind w:left="105" w:right="105"/>
              <w:jc w:val="center"/>
              <w:rPr>
                <w:rFonts w:hint="eastAsia"/>
                <w:highlight w:val="none"/>
              </w:rPr>
            </w:pPr>
            <w:r>
              <w:rPr>
                <w:rFonts w:hint="eastAsia"/>
                <w:highlight w:val="none"/>
              </w:rPr>
              <w:t>工程进度计划与保证措施</w:t>
            </w:r>
          </w:p>
          <w:p>
            <w:pPr>
              <w:spacing w:line="360" w:lineRule="exact"/>
              <w:ind w:left="105" w:right="105"/>
              <w:jc w:val="center"/>
              <w:rPr>
                <w:rFonts w:hint="eastAsia"/>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15分</w:t>
            </w:r>
            <w:r>
              <w:rPr>
                <w:rFonts w:hint="eastAsia" w:ascii="宋体" w:hAnsi="宋体"/>
                <w:color w:val="auto"/>
                <w:szCs w:val="21"/>
                <w:highlight w:val="none"/>
                <w:lang w:eastAsia="zh-CN"/>
              </w:rPr>
              <w:t>）</w:t>
            </w:r>
          </w:p>
        </w:tc>
        <w:tc>
          <w:tcPr>
            <w:tcW w:w="5745" w:type="dxa"/>
            <w:noWrap w:val="0"/>
            <w:tcMar>
              <w:top w:w="15" w:type="dxa"/>
              <w:left w:w="15" w:type="dxa"/>
              <w:bottom w:w="0" w:type="dxa"/>
              <w:right w:w="15" w:type="dxa"/>
            </w:tcMar>
            <w:vAlign w:val="center"/>
          </w:tcPr>
          <w:p>
            <w:pPr>
              <w:spacing w:line="360" w:lineRule="exact"/>
              <w:ind w:left="105" w:right="105"/>
              <w:rPr>
                <w:rFonts w:hint="eastAsia"/>
                <w:highlight w:val="none"/>
              </w:rPr>
            </w:pPr>
            <w:r>
              <w:rPr>
                <w:rFonts w:hint="eastAsia"/>
                <w:highlight w:val="none"/>
              </w:rPr>
              <w:t>总工期及节点工期满足</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highlight w:val="none"/>
              </w:rPr>
              <w:t>要求；施工进度计划内容全面，线路清晰、准确、完整，计划编制合理、可行；措施有力、合理、可行。</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bidi="ar-SA"/>
              </w:rPr>
            </w:pPr>
            <w:r>
              <w:rPr>
                <w:rFonts w:hint="eastAsia" w:ascii="宋体" w:hAnsi="宋体" w:cs="Calibri"/>
                <w:b w:val="0"/>
                <w:bCs w:val="0"/>
                <w:color w:val="auto"/>
                <w:kern w:val="0"/>
                <w:sz w:val="20"/>
                <w:szCs w:val="20"/>
                <w:highlight w:val="none"/>
                <w:lang w:val="en-US" w:eastAsia="zh-CN"/>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6" w:hRule="atLeast"/>
          <w:jc w:val="center"/>
        </w:trPr>
        <w:tc>
          <w:tcPr>
            <w:tcW w:w="890" w:type="dxa"/>
            <w:vMerge w:val="continue"/>
            <w:noWrap w:val="0"/>
            <w:tcMar>
              <w:top w:w="15" w:type="dxa"/>
              <w:left w:w="15" w:type="dxa"/>
              <w:bottom w:w="0" w:type="dxa"/>
              <w:right w:w="15" w:type="dxa"/>
            </w:tcMar>
            <w:vAlign w:val="center"/>
          </w:tcPr>
          <w:p>
            <w:pPr>
              <w:widowControl/>
              <w:wordWrap w:val="0"/>
              <w:jc w:val="center"/>
              <w:rPr>
                <w:rFonts w:hint="eastAsia" w:ascii="宋体" w:hAnsi="宋体" w:cs="Calibri"/>
                <w:b w:val="0"/>
                <w:bCs w:val="0"/>
                <w:color w:val="auto"/>
                <w:kern w:val="0"/>
                <w:sz w:val="20"/>
                <w:szCs w:val="20"/>
                <w:highlight w:val="none"/>
              </w:rPr>
            </w:pPr>
          </w:p>
        </w:tc>
        <w:tc>
          <w:tcPr>
            <w:tcW w:w="1708" w:type="dxa"/>
            <w:vMerge w:val="continue"/>
            <w:noWrap w:val="0"/>
            <w:vAlign w:val="center"/>
          </w:tcPr>
          <w:p>
            <w:pPr>
              <w:spacing w:line="360" w:lineRule="exact"/>
              <w:ind w:left="105" w:right="105"/>
              <w:jc w:val="center"/>
              <w:rPr>
                <w:rFonts w:hint="eastAsia" w:ascii="宋体" w:hAnsi="宋体"/>
                <w:color w:val="auto"/>
                <w:szCs w:val="21"/>
                <w:highlight w:val="none"/>
              </w:rPr>
            </w:pPr>
          </w:p>
        </w:tc>
        <w:tc>
          <w:tcPr>
            <w:tcW w:w="5745" w:type="dxa"/>
            <w:noWrap w:val="0"/>
            <w:tcMar>
              <w:top w:w="15" w:type="dxa"/>
              <w:left w:w="15" w:type="dxa"/>
              <w:bottom w:w="0" w:type="dxa"/>
              <w:right w:w="15" w:type="dxa"/>
            </w:tcMar>
            <w:vAlign w:val="center"/>
          </w:tcPr>
          <w:p>
            <w:pPr>
              <w:spacing w:line="360" w:lineRule="exact"/>
              <w:ind w:left="105" w:right="105"/>
              <w:rPr>
                <w:rFonts w:hint="eastAsia" w:ascii="宋体" w:hAnsi="宋体"/>
                <w:color w:val="auto"/>
                <w:szCs w:val="21"/>
                <w:highlight w:val="none"/>
              </w:rPr>
            </w:pPr>
            <w:r>
              <w:rPr>
                <w:rFonts w:hint="eastAsia" w:ascii="宋体" w:hAnsi="宋体"/>
                <w:color w:val="auto"/>
                <w:szCs w:val="21"/>
                <w:highlight w:val="none"/>
              </w:rPr>
              <w:t>总工期及节点工期满足</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要求；施工进度计划内容欠全面，线路欠清晰，计划编制欠合理；措施基本可行。</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bidi="ar-SA"/>
              </w:rPr>
            </w:pPr>
            <w:r>
              <w:rPr>
                <w:rFonts w:hint="eastAsia" w:ascii="宋体" w:hAnsi="宋体" w:cs="Calibri"/>
                <w:b w:val="0"/>
                <w:bCs w:val="0"/>
                <w:color w:val="auto"/>
                <w:kern w:val="0"/>
                <w:sz w:val="20"/>
                <w:szCs w:val="20"/>
                <w:highlight w:val="none"/>
                <w:lang w:val="en-US" w:eastAsia="zh-CN"/>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6" w:hRule="atLeast"/>
          <w:jc w:val="center"/>
        </w:trPr>
        <w:tc>
          <w:tcPr>
            <w:tcW w:w="890" w:type="dxa"/>
            <w:vMerge w:val="restart"/>
            <w:noWrap w:val="0"/>
            <w:tcMar>
              <w:top w:w="15" w:type="dxa"/>
              <w:left w:w="15" w:type="dxa"/>
              <w:bottom w:w="0" w:type="dxa"/>
              <w:right w:w="15" w:type="dxa"/>
            </w:tcMar>
            <w:vAlign w:val="center"/>
          </w:tcPr>
          <w:p>
            <w:pPr>
              <w:widowControl/>
              <w:wordWrap w:val="0"/>
              <w:jc w:val="center"/>
              <w:rPr>
                <w:rFonts w:hint="eastAsia" w:ascii="宋体" w:hAnsi="宋体" w:eastAsia="宋体" w:cs="Calibri"/>
                <w:b w:val="0"/>
                <w:bCs w:val="0"/>
                <w:color w:val="auto"/>
                <w:kern w:val="0"/>
                <w:sz w:val="20"/>
                <w:szCs w:val="20"/>
                <w:highlight w:val="none"/>
                <w:lang w:val="en-US" w:eastAsia="zh-CN"/>
              </w:rPr>
            </w:pPr>
            <w:r>
              <w:rPr>
                <w:rFonts w:hint="eastAsia" w:ascii="宋体" w:hAnsi="宋体" w:cs="Calibri"/>
                <w:b w:val="0"/>
                <w:bCs w:val="0"/>
                <w:color w:val="auto"/>
                <w:kern w:val="0"/>
                <w:sz w:val="20"/>
                <w:szCs w:val="20"/>
                <w:highlight w:val="none"/>
                <w:lang w:val="en-US" w:eastAsia="zh-CN"/>
              </w:rPr>
              <w:t>5</w:t>
            </w:r>
          </w:p>
        </w:tc>
        <w:tc>
          <w:tcPr>
            <w:tcW w:w="1708" w:type="dxa"/>
            <w:vMerge w:val="restart"/>
            <w:noWrap w:val="0"/>
            <w:vAlign w:val="center"/>
          </w:tcPr>
          <w:p>
            <w:pPr>
              <w:spacing w:line="360" w:lineRule="exact"/>
              <w:ind w:left="105" w:right="105"/>
              <w:jc w:val="center"/>
              <w:rPr>
                <w:rFonts w:hint="eastAsia"/>
                <w:highlight w:val="none"/>
              </w:rPr>
            </w:pPr>
            <w:r>
              <w:rPr>
                <w:rFonts w:hint="eastAsia"/>
                <w:highlight w:val="none"/>
              </w:rPr>
              <w:t>环境保护管理体系与措施</w:t>
            </w:r>
          </w:p>
          <w:p>
            <w:pPr>
              <w:spacing w:line="360" w:lineRule="exact"/>
              <w:ind w:left="105" w:right="105"/>
              <w:jc w:val="center"/>
              <w:rPr>
                <w:rFonts w:hint="eastAsia"/>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15分</w:t>
            </w:r>
            <w:r>
              <w:rPr>
                <w:rFonts w:hint="eastAsia" w:ascii="宋体" w:hAnsi="宋体"/>
                <w:color w:val="auto"/>
                <w:szCs w:val="21"/>
                <w:highlight w:val="none"/>
                <w:lang w:eastAsia="zh-CN"/>
              </w:rPr>
              <w:t>）</w:t>
            </w:r>
          </w:p>
        </w:tc>
        <w:tc>
          <w:tcPr>
            <w:tcW w:w="5745" w:type="dxa"/>
            <w:noWrap w:val="0"/>
            <w:tcMar>
              <w:top w:w="15" w:type="dxa"/>
              <w:left w:w="15" w:type="dxa"/>
              <w:bottom w:w="0" w:type="dxa"/>
              <w:right w:w="15" w:type="dxa"/>
            </w:tcMar>
            <w:vAlign w:val="center"/>
          </w:tcPr>
          <w:p>
            <w:pPr>
              <w:spacing w:line="360" w:lineRule="exact"/>
              <w:ind w:left="105" w:right="105"/>
              <w:rPr>
                <w:rFonts w:hint="eastAsia" w:ascii="宋体" w:hAnsi="宋体"/>
                <w:color w:val="auto"/>
                <w:szCs w:val="21"/>
                <w:highlight w:val="none"/>
              </w:rPr>
            </w:pPr>
            <w:r>
              <w:rPr>
                <w:rFonts w:hint="eastAsia" w:ascii="宋体" w:hAnsi="宋体"/>
                <w:color w:val="auto"/>
                <w:szCs w:val="21"/>
                <w:highlight w:val="none"/>
              </w:rPr>
              <w:t>环境管理目标</w:t>
            </w:r>
            <w:r>
              <w:rPr>
                <w:rFonts w:hint="eastAsia" w:ascii="宋体" w:hAnsi="宋体"/>
                <w:color w:val="auto"/>
                <w:szCs w:val="21"/>
                <w:highlight w:val="none"/>
                <w:lang w:eastAsia="zh-CN"/>
              </w:rPr>
              <w:t>表述清晰、</w:t>
            </w:r>
            <w:r>
              <w:rPr>
                <w:rFonts w:hint="eastAsia" w:ascii="宋体" w:hAnsi="宋体"/>
                <w:color w:val="auto"/>
                <w:szCs w:val="21"/>
                <w:highlight w:val="none"/>
              </w:rPr>
              <w:t>明确，优于</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的要求；管理机构健全，职责分工明确；管理制度齐全；实施与监控措施全面、有效。</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bidi="ar-SA"/>
              </w:rPr>
            </w:pPr>
            <w:r>
              <w:rPr>
                <w:rFonts w:hint="eastAsia" w:ascii="宋体" w:hAnsi="宋体" w:cs="Calibri"/>
                <w:b w:val="0"/>
                <w:bCs w:val="0"/>
                <w:color w:val="auto"/>
                <w:kern w:val="0"/>
                <w:sz w:val="20"/>
                <w:szCs w:val="20"/>
                <w:highlight w:val="none"/>
                <w:lang w:val="en-US" w:eastAsia="zh-CN"/>
              </w:rPr>
              <w:t>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jc w:val="center"/>
        </w:trPr>
        <w:tc>
          <w:tcPr>
            <w:tcW w:w="890" w:type="dxa"/>
            <w:vMerge w:val="continue"/>
            <w:noWrap w:val="0"/>
            <w:tcMar>
              <w:top w:w="15" w:type="dxa"/>
              <w:left w:w="15" w:type="dxa"/>
              <w:bottom w:w="0" w:type="dxa"/>
              <w:right w:w="15" w:type="dxa"/>
            </w:tcMar>
            <w:vAlign w:val="center"/>
          </w:tcPr>
          <w:p>
            <w:pPr>
              <w:widowControl/>
              <w:wordWrap w:val="0"/>
              <w:jc w:val="center"/>
              <w:rPr>
                <w:rFonts w:hint="eastAsia" w:ascii="宋体" w:hAnsi="宋体" w:cs="Calibri"/>
                <w:b/>
                <w:bCs/>
                <w:color w:val="auto"/>
                <w:kern w:val="0"/>
                <w:sz w:val="20"/>
                <w:szCs w:val="20"/>
                <w:highlight w:val="none"/>
              </w:rPr>
            </w:pPr>
          </w:p>
        </w:tc>
        <w:tc>
          <w:tcPr>
            <w:tcW w:w="1708" w:type="dxa"/>
            <w:vMerge w:val="continue"/>
            <w:noWrap w:val="0"/>
            <w:vAlign w:val="center"/>
          </w:tcPr>
          <w:p>
            <w:pPr>
              <w:widowControl/>
              <w:wordWrap w:val="0"/>
              <w:jc w:val="center"/>
              <w:rPr>
                <w:rFonts w:hint="eastAsia" w:ascii="宋体" w:hAnsi="宋体" w:cs="Calibri"/>
                <w:b/>
                <w:bCs/>
                <w:color w:val="auto"/>
                <w:kern w:val="0"/>
                <w:sz w:val="20"/>
                <w:szCs w:val="20"/>
                <w:highlight w:val="none"/>
              </w:rPr>
            </w:pPr>
          </w:p>
        </w:tc>
        <w:tc>
          <w:tcPr>
            <w:tcW w:w="5745" w:type="dxa"/>
            <w:noWrap w:val="0"/>
            <w:tcMar>
              <w:top w:w="15" w:type="dxa"/>
              <w:left w:w="15" w:type="dxa"/>
              <w:bottom w:w="0" w:type="dxa"/>
              <w:right w:w="15" w:type="dxa"/>
            </w:tcMar>
            <w:vAlign w:val="center"/>
          </w:tcPr>
          <w:p>
            <w:pPr>
              <w:widowControl/>
              <w:wordWrap w:val="0"/>
              <w:jc w:val="left"/>
              <w:rPr>
                <w:rFonts w:hint="eastAsia" w:ascii="宋体" w:hAnsi="宋体" w:cs="Calibri"/>
                <w:b/>
                <w:bCs/>
                <w:color w:val="auto"/>
                <w:kern w:val="0"/>
                <w:sz w:val="20"/>
                <w:szCs w:val="20"/>
                <w:highlight w:val="none"/>
              </w:rPr>
            </w:pPr>
            <w:r>
              <w:rPr>
                <w:rFonts w:hint="eastAsia" w:ascii="宋体" w:hAnsi="宋体"/>
                <w:color w:val="auto"/>
                <w:szCs w:val="21"/>
                <w:highlight w:val="none"/>
              </w:rPr>
              <w:t>环境管理目标</w:t>
            </w:r>
            <w:r>
              <w:rPr>
                <w:rFonts w:hint="eastAsia" w:ascii="宋体" w:hAnsi="宋体"/>
                <w:color w:val="auto"/>
                <w:szCs w:val="21"/>
                <w:highlight w:val="none"/>
                <w:lang w:eastAsia="zh-CN"/>
              </w:rPr>
              <w:t>表述较清晰</w:t>
            </w:r>
            <w:r>
              <w:rPr>
                <w:rFonts w:hint="eastAsia" w:ascii="宋体" w:hAnsi="宋体"/>
                <w:color w:val="auto"/>
                <w:szCs w:val="21"/>
                <w:highlight w:val="none"/>
              </w:rPr>
              <w:t>，</w:t>
            </w:r>
            <w:r>
              <w:rPr>
                <w:rFonts w:hint="eastAsia" w:ascii="宋体" w:hAnsi="宋体"/>
                <w:color w:val="auto"/>
                <w:szCs w:val="21"/>
                <w:highlight w:val="none"/>
                <w:lang w:eastAsia="zh-CN"/>
              </w:rPr>
              <w:t>满足</w:t>
            </w:r>
            <w:r>
              <w:rPr>
                <w:rFonts w:hint="eastAsia" w:ascii="宋体" w:hAnsi="宋体" w:cs="宋体"/>
                <w:highlight w:val="none"/>
              </w:rPr>
              <w:t>竞</w:t>
            </w:r>
            <w:r>
              <w:rPr>
                <w:rFonts w:hint="eastAsia" w:ascii="宋体" w:hAnsi="宋体" w:cs="宋体"/>
                <w:highlight w:val="none"/>
                <w:lang w:eastAsia="zh-CN"/>
              </w:rPr>
              <w:t>争性</w:t>
            </w:r>
            <w:r>
              <w:rPr>
                <w:rFonts w:hint="eastAsia" w:ascii="宋体" w:hAnsi="宋体" w:cs="宋体"/>
                <w:highlight w:val="none"/>
              </w:rPr>
              <w:t>谈</w:t>
            </w:r>
            <w:r>
              <w:rPr>
                <w:rFonts w:hint="eastAsia" w:ascii="宋体" w:hAnsi="宋体" w:cs="宋体"/>
                <w:highlight w:val="none"/>
                <w:lang w:eastAsia="zh-CN"/>
              </w:rPr>
              <w:t>判</w:t>
            </w:r>
            <w:r>
              <w:rPr>
                <w:rFonts w:hint="eastAsia" w:ascii="宋体" w:hAnsi="宋体" w:cs="宋体"/>
                <w:highlight w:val="none"/>
              </w:rPr>
              <w:t>文件</w:t>
            </w:r>
            <w:r>
              <w:rPr>
                <w:rFonts w:hint="eastAsia" w:ascii="宋体" w:hAnsi="宋体"/>
                <w:color w:val="auto"/>
                <w:szCs w:val="21"/>
                <w:highlight w:val="none"/>
              </w:rPr>
              <w:t>的要求；管理机构</w:t>
            </w:r>
            <w:r>
              <w:rPr>
                <w:rFonts w:hint="eastAsia" w:ascii="宋体" w:hAnsi="宋体"/>
                <w:color w:val="auto"/>
                <w:szCs w:val="21"/>
                <w:highlight w:val="none"/>
                <w:lang w:eastAsia="zh-CN"/>
              </w:rPr>
              <w:t>较全面</w:t>
            </w:r>
            <w:r>
              <w:rPr>
                <w:rFonts w:hint="eastAsia" w:ascii="宋体" w:hAnsi="宋体"/>
                <w:color w:val="auto"/>
                <w:szCs w:val="21"/>
                <w:highlight w:val="none"/>
              </w:rPr>
              <w:t>，职责分工</w:t>
            </w:r>
            <w:r>
              <w:rPr>
                <w:rFonts w:hint="eastAsia" w:ascii="宋体" w:hAnsi="宋体"/>
                <w:color w:val="auto"/>
                <w:szCs w:val="21"/>
                <w:highlight w:val="none"/>
                <w:lang w:eastAsia="zh-CN"/>
              </w:rPr>
              <w:t>较</w:t>
            </w:r>
            <w:r>
              <w:rPr>
                <w:rFonts w:hint="eastAsia" w:ascii="宋体" w:hAnsi="宋体"/>
                <w:color w:val="auto"/>
                <w:szCs w:val="21"/>
                <w:highlight w:val="none"/>
              </w:rPr>
              <w:t>明确；管理制度</w:t>
            </w:r>
            <w:r>
              <w:rPr>
                <w:rFonts w:hint="eastAsia" w:ascii="宋体" w:hAnsi="宋体"/>
                <w:color w:val="auto"/>
                <w:szCs w:val="21"/>
                <w:highlight w:val="none"/>
                <w:lang w:eastAsia="zh-CN"/>
              </w:rPr>
              <w:t>较</w:t>
            </w:r>
            <w:r>
              <w:rPr>
                <w:rFonts w:hint="eastAsia" w:ascii="宋体" w:hAnsi="宋体"/>
                <w:color w:val="auto"/>
                <w:szCs w:val="21"/>
                <w:highlight w:val="none"/>
              </w:rPr>
              <w:t>齐全；实施与监控措施</w:t>
            </w:r>
            <w:r>
              <w:rPr>
                <w:rFonts w:hint="eastAsia" w:ascii="宋体" w:hAnsi="宋体"/>
                <w:color w:val="auto"/>
                <w:szCs w:val="21"/>
                <w:highlight w:val="none"/>
                <w:lang w:eastAsia="zh-CN"/>
              </w:rPr>
              <w:t>基本可行</w:t>
            </w:r>
            <w:r>
              <w:rPr>
                <w:rFonts w:hint="eastAsia" w:ascii="宋体" w:hAnsi="宋体"/>
                <w:color w:val="auto"/>
                <w:szCs w:val="21"/>
                <w:highlight w:val="none"/>
              </w:rPr>
              <w:t>。</w:t>
            </w:r>
          </w:p>
        </w:tc>
        <w:tc>
          <w:tcPr>
            <w:tcW w:w="856" w:type="dxa"/>
            <w:noWrap w:val="0"/>
            <w:tcMar>
              <w:top w:w="15" w:type="dxa"/>
              <w:left w:w="15" w:type="dxa"/>
              <w:bottom w:w="0" w:type="dxa"/>
              <w:right w:w="15" w:type="dxa"/>
            </w:tcMar>
            <w:vAlign w:val="center"/>
          </w:tcPr>
          <w:p>
            <w:pPr>
              <w:widowControl/>
              <w:wordWrap w:val="0"/>
              <w:jc w:val="center"/>
              <w:rPr>
                <w:rFonts w:hint="default" w:ascii="宋体" w:hAnsi="宋体" w:eastAsia="宋体" w:cs="Calibri"/>
                <w:b w:val="0"/>
                <w:bCs w:val="0"/>
                <w:color w:val="auto"/>
                <w:kern w:val="0"/>
                <w:sz w:val="20"/>
                <w:szCs w:val="20"/>
                <w:highlight w:val="none"/>
                <w:lang w:val="en-US" w:eastAsia="zh-CN" w:bidi="ar-SA"/>
              </w:rPr>
            </w:pPr>
            <w:r>
              <w:rPr>
                <w:rFonts w:hint="eastAsia" w:ascii="宋体" w:hAnsi="宋体" w:cs="Calibri"/>
                <w:b w:val="0"/>
                <w:bCs w:val="0"/>
                <w:color w:val="auto"/>
                <w:kern w:val="0"/>
                <w:sz w:val="20"/>
                <w:szCs w:val="20"/>
                <w:highlight w:val="none"/>
                <w:lang w:val="en-US" w:eastAsia="zh-CN"/>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jc w:val="center"/>
        </w:trPr>
        <w:tc>
          <w:tcPr>
            <w:tcW w:w="890" w:type="dxa"/>
            <w:noWrap w:val="0"/>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合计</w:t>
            </w:r>
          </w:p>
        </w:tc>
        <w:tc>
          <w:tcPr>
            <w:tcW w:w="1708" w:type="dxa"/>
            <w:noWrap w:val="0"/>
            <w:vAlign w:val="center"/>
          </w:tcPr>
          <w:p>
            <w:pPr>
              <w:spacing w:line="36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100</w:t>
            </w:r>
          </w:p>
        </w:tc>
        <w:tc>
          <w:tcPr>
            <w:tcW w:w="6601" w:type="dxa"/>
            <w:gridSpan w:val="2"/>
            <w:noWrap w:val="0"/>
            <w:tcMar>
              <w:top w:w="15" w:type="dxa"/>
              <w:left w:w="15" w:type="dxa"/>
              <w:bottom w:w="0" w:type="dxa"/>
              <w:right w:w="15" w:type="dxa"/>
            </w:tcMar>
            <w:vAlign w:val="center"/>
          </w:tcPr>
          <w:p>
            <w:pPr>
              <w:widowControl/>
              <w:wordWrap w:val="0"/>
              <w:spacing w:line="320" w:lineRule="atLeas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bl>
    <w:p>
      <w:pPr>
        <w:pStyle w:val="2"/>
        <w:rPr>
          <w:highlight w:val="none"/>
        </w:rPr>
      </w:pPr>
    </w:p>
    <w:p>
      <w:pPr>
        <w:widowControl/>
        <w:shd w:val="clear" w:color="auto" w:fill="FFFFFF"/>
        <w:jc w:val="center"/>
        <w:rPr>
          <w:rFonts w:hint="eastAsia" w:ascii="宋体" w:hAnsi="宋体" w:eastAsia="宋体" w:cs="宋体"/>
          <w:b/>
          <w:color w:val="auto"/>
          <w:sz w:val="28"/>
          <w:szCs w:val="28"/>
          <w:highlight w:val="none"/>
        </w:rPr>
        <w:sectPr>
          <w:headerReference r:id="rId7" w:type="default"/>
          <w:footerReference r:id="rId8" w:type="default"/>
          <w:pgSz w:w="11906" w:h="16838"/>
          <w:pgMar w:top="1440" w:right="1474" w:bottom="1440" w:left="1531" w:header="851" w:footer="850" w:gutter="0"/>
          <w:pgNumType w:fmt="decimal"/>
          <w:cols w:space="0" w:num="1"/>
          <w:docGrid w:linePitch="312" w:charSpace="0"/>
        </w:sectPr>
      </w:pPr>
    </w:p>
    <w:p>
      <w:pPr>
        <w:pStyle w:val="2"/>
        <w:ind w:left="0" w:leftChars="0" w:firstLine="0" w:firstLineChars="0"/>
        <w:rPr>
          <w:rFonts w:hint="default" w:eastAsia="宋体"/>
          <w:highlight w:val="none"/>
          <w:lang w:val="en-US" w:eastAsia="zh-CN"/>
        </w:rPr>
      </w:pPr>
      <w:r>
        <w:rPr>
          <w:rFonts w:hint="eastAsia" w:ascii="宋体" w:hAnsi="宋体" w:cs="宋体"/>
          <w:b/>
          <w:color w:val="auto"/>
          <w:sz w:val="28"/>
          <w:szCs w:val="28"/>
          <w:highlight w:val="none"/>
          <w:lang w:val="en-US" w:eastAsia="zh-CN"/>
        </w:rPr>
        <w:t>附表3：</w:t>
      </w:r>
    </w:p>
    <w:p>
      <w:pPr>
        <w:widowControl/>
        <w:shd w:val="clear" w:color="auto" w:fill="FFFFFF"/>
        <w:jc w:val="center"/>
        <w:rPr>
          <w:rFonts w:hint="eastAsia" w:ascii="宋体" w:hAnsi="宋体"/>
          <w:color w:val="000000"/>
          <w:szCs w:val="21"/>
          <w:highlight w:val="none"/>
        </w:rPr>
      </w:pPr>
      <w:r>
        <w:rPr>
          <w:rFonts w:hint="eastAsia" w:ascii="宋体" w:hAnsi="宋体" w:eastAsia="宋体" w:cs="宋体"/>
          <w:b/>
          <w:color w:val="auto"/>
          <w:sz w:val="28"/>
          <w:szCs w:val="28"/>
          <w:highlight w:val="none"/>
        </w:rPr>
        <w:t>报价评审计分表</w:t>
      </w:r>
      <w:r>
        <w:rPr>
          <w:rFonts w:hint="eastAsia" w:ascii="宋体" w:hAnsi="宋体" w:cs="宋体"/>
          <w:b/>
          <w:color w:val="auto"/>
          <w:sz w:val="28"/>
          <w:szCs w:val="28"/>
          <w:highlight w:val="none"/>
        </w:rPr>
        <w:t>（总分</w:t>
      </w:r>
      <w:r>
        <w:rPr>
          <w:rFonts w:hint="eastAsia" w:ascii="宋体" w:hAnsi="宋体" w:cs="宋体"/>
          <w:b/>
          <w:color w:val="auto"/>
          <w:sz w:val="28"/>
          <w:szCs w:val="28"/>
          <w:highlight w:val="none"/>
          <w:lang w:val="en-US" w:eastAsia="zh-CN"/>
        </w:rPr>
        <w:t>10</w:t>
      </w:r>
      <w:r>
        <w:rPr>
          <w:rFonts w:ascii="宋体" w:hAnsi="宋体" w:cs="宋体"/>
          <w:b/>
          <w:color w:val="auto"/>
          <w:sz w:val="28"/>
          <w:szCs w:val="28"/>
          <w:highlight w:val="none"/>
        </w:rPr>
        <w:t>0</w:t>
      </w:r>
      <w:r>
        <w:rPr>
          <w:rFonts w:hint="eastAsia" w:ascii="宋体" w:hAnsi="宋体" w:cs="宋体"/>
          <w:b/>
          <w:color w:val="auto"/>
          <w:sz w:val="28"/>
          <w:szCs w:val="28"/>
          <w:highlight w:val="none"/>
        </w:rPr>
        <w:t>分</w:t>
      </w:r>
      <w:r>
        <w:rPr>
          <w:rFonts w:hint="eastAsia" w:ascii="宋体" w:hAnsi="宋体" w:cs="宋体"/>
          <w:b/>
          <w:color w:val="auto"/>
          <w:sz w:val="28"/>
          <w:szCs w:val="28"/>
          <w:highlight w:val="none"/>
          <w:lang w:eastAsia="zh-CN"/>
        </w:rPr>
        <w:t>，权重</w:t>
      </w:r>
      <w:r>
        <w:rPr>
          <w:rFonts w:hint="eastAsia" w:ascii="宋体" w:hAnsi="宋体" w:cs="宋体"/>
          <w:b/>
          <w:color w:val="auto"/>
          <w:sz w:val="28"/>
          <w:szCs w:val="28"/>
          <w:highlight w:val="none"/>
          <w:lang w:val="en-US" w:eastAsia="zh-CN"/>
        </w:rPr>
        <w:t>50%</w:t>
      </w:r>
      <w:r>
        <w:rPr>
          <w:rFonts w:hint="eastAsia" w:ascii="宋体" w:hAnsi="宋体" w:cs="宋体"/>
          <w:b/>
          <w:color w:val="auto"/>
          <w:sz w:val="28"/>
          <w:szCs w:val="28"/>
          <w:highlight w:val="none"/>
        </w:rPr>
        <w:t>）</w:t>
      </w:r>
    </w:p>
    <w:p>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cs="宋体"/>
          <w:szCs w:val="21"/>
          <w:highlight w:val="none"/>
        </w:rPr>
      </w:pPr>
      <w:r>
        <w:rPr>
          <w:rFonts w:hint="eastAsia" w:ascii="宋体" w:hAnsi="宋体" w:cs="宋体"/>
          <w:szCs w:val="21"/>
          <w:highlight w:val="none"/>
        </w:rPr>
        <w:t>1、以经谈判小组一致认定满足《竞争性谈判文件》要求且谈判不含</w:t>
      </w:r>
      <w:r>
        <w:rPr>
          <w:rFonts w:hint="eastAsia" w:ascii="宋体" w:hAnsi="宋体" w:cs="宋体"/>
          <w:szCs w:val="21"/>
          <w:highlight w:val="none"/>
          <w:lang w:eastAsia="zh-CN"/>
        </w:rPr>
        <w:t>增值</w:t>
      </w:r>
      <w:r>
        <w:rPr>
          <w:rFonts w:hint="eastAsia" w:ascii="宋体" w:hAnsi="宋体" w:cs="宋体"/>
          <w:szCs w:val="21"/>
          <w:highlight w:val="none"/>
        </w:rPr>
        <w:t>税总报价最低的报价为基准价，其得分为满分。</w:t>
      </w:r>
    </w:p>
    <w:p>
      <w:pPr>
        <w:ind w:firstLine="420" w:firstLineChars="200"/>
        <w:rPr>
          <w:rFonts w:hint="default" w:ascii="黑体" w:hAnsi="黑体" w:eastAsia="黑体" w:cs="黑体"/>
          <w:b w:val="0"/>
          <w:bCs w:val="0"/>
          <w:kern w:val="0"/>
          <w:sz w:val="32"/>
          <w:szCs w:val="32"/>
          <w:highlight w:val="none"/>
          <w:lang w:val="en-US" w:eastAsia="zh-CN" w:bidi="ar"/>
        </w:rPr>
      </w:pPr>
      <w:r>
        <w:rPr>
          <w:rFonts w:hint="eastAsia" w:ascii="宋体" w:hAnsi="宋体" w:cs="宋体"/>
          <w:szCs w:val="21"/>
          <w:highlight w:val="none"/>
        </w:rPr>
        <w:t>2、其他有效单位的得分统一按下列公式计算（保留2位小数，第3位四舍五入）：</w:t>
      </w:r>
      <w:r>
        <w:rPr>
          <w:rFonts w:hint="eastAsia" w:ascii="宋体" w:hAnsi="宋体" w:cs="宋体"/>
          <w:b/>
          <w:bCs/>
          <w:szCs w:val="21"/>
          <w:highlight w:val="none"/>
        </w:rPr>
        <w:t>谈判单位得分=(基准价／谈判</w:t>
      </w:r>
      <w:r>
        <w:rPr>
          <w:rFonts w:hint="eastAsia" w:ascii="宋体" w:hAnsi="宋体" w:cs="宋体"/>
          <w:b/>
          <w:bCs/>
          <w:szCs w:val="21"/>
          <w:highlight w:val="none"/>
          <w:lang w:eastAsia="zh-CN"/>
        </w:rPr>
        <w:t>不含增值税总</w:t>
      </w:r>
      <w:r>
        <w:rPr>
          <w:rFonts w:hint="eastAsia" w:ascii="宋体" w:hAnsi="宋体" w:cs="宋体"/>
          <w:b/>
          <w:bCs/>
          <w:szCs w:val="21"/>
          <w:highlight w:val="none"/>
        </w:rPr>
        <w:t>报价)×100</w:t>
      </w:r>
      <w:r>
        <w:rPr>
          <w:rFonts w:hint="eastAsia" w:ascii="宋体" w:hAnsi="宋体" w:cs="宋体"/>
          <w:b w:val="0"/>
          <w:bCs w:val="0"/>
          <w:szCs w:val="21"/>
          <w:highlight w:val="none"/>
          <w:lang w:eastAsia="zh-CN"/>
        </w:rPr>
        <w:t>。</w:t>
      </w:r>
    </w:p>
    <w:p>
      <w:pPr>
        <w:pStyle w:val="45"/>
        <w:rPr>
          <w:color w:val="auto"/>
          <w:highlight w:val="none"/>
        </w:rPr>
      </w:pPr>
    </w:p>
    <w:p>
      <w:pPr>
        <w:widowControl/>
        <w:jc w:val="left"/>
        <w:rPr>
          <w:color w:val="auto"/>
          <w:highlight w:val="none"/>
        </w:rPr>
      </w:pPr>
      <w:r>
        <w:rPr>
          <w:color w:val="auto"/>
          <w:highlight w:val="none"/>
        </w:rPr>
        <w:br w:type="page"/>
      </w:r>
    </w:p>
    <w:p>
      <w:pPr>
        <w:pStyle w:val="3"/>
        <w:keepNext w:val="0"/>
        <w:spacing w:line="360" w:lineRule="auto"/>
        <w:rPr>
          <w:rFonts w:ascii="宋体" w:hAnsi="宋体" w:cs="宋体"/>
          <w:bCs w:val="0"/>
          <w:color w:val="auto"/>
          <w:sz w:val="32"/>
          <w:szCs w:val="32"/>
          <w:highlight w:val="none"/>
        </w:rPr>
      </w:pPr>
      <w:bookmarkStart w:id="57" w:name="_Toc17562"/>
      <w:bookmarkStart w:id="58" w:name="_Toc14891077"/>
      <w:bookmarkStart w:id="59" w:name="_Toc23442"/>
      <w:bookmarkStart w:id="60" w:name="_Toc17997"/>
      <w:bookmarkStart w:id="61" w:name="_Toc173"/>
      <w:bookmarkStart w:id="62" w:name="_Toc8873"/>
      <w:r>
        <w:rPr>
          <w:rFonts w:hint="eastAsia" w:ascii="宋体" w:hAnsi="宋体" w:cs="宋体"/>
          <w:bCs w:val="0"/>
          <w:color w:val="auto"/>
          <w:sz w:val="32"/>
          <w:szCs w:val="32"/>
          <w:highlight w:val="none"/>
        </w:rPr>
        <w:t>第四章  用户需求书</w:t>
      </w:r>
      <w:bookmarkEnd w:id="57"/>
      <w:bookmarkEnd w:id="58"/>
      <w:bookmarkEnd w:id="59"/>
      <w:bookmarkEnd w:id="60"/>
      <w:r>
        <w:rPr>
          <w:rFonts w:hint="eastAsia" w:ascii="宋体" w:hAnsi="宋体" w:cs="宋体"/>
          <w:bCs w:val="0"/>
          <w:color w:val="auto"/>
          <w:sz w:val="32"/>
          <w:szCs w:val="32"/>
          <w:highlight w:val="none"/>
        </w:rPr>
        <w:t>（另册）</w:t>
      </w:r>
      <w:bookmarkEnd w:id="61"/>
      <w:bookmarkEnd w:id="62"/>
    </w:p>
    <w:p>
      <w:pPr>
        <w:spacing w:line="360" w:lineRule="auto"/>
        <w:rPr>
          <w:rFonts w:ascii="宋体" w:hAnsi="宋体" w:cs="宋体"/>
          <w:color w:val="auto"/>
          <w:highlight w:val="none"/>
        </w:rPr>
      </w:pPr>
    </w:p>
    <w:p>
      <w:pPr>
        <w:pStyle w:val="2"/>
        <w:spacing w:line="360" w:lineRule="auto"/>
        <w:ind w:left="0" w:leftChars="0" w:firstLine="420" w:firstLineChars="200"/>
        <w:rPr>
          <w:color w:val="auto"/>
          <w:highlight w:val="none"/>
        </w:rPr>
      </w:pPr>
      <w:r>
        <w:rPr>
          <w:rFonts w:hint="eastAsia" w:ascii="宋体" w:hAnsi="宋体" w:cs="宋体"/>
          <w:color w:val="auto"/>
          <w:highlight w:val="none"/>
        </w:rPr>
        <w:t>用户需求书详见本项目谈判邀请公告附件：</w:t>
      </w:r>
      <w:r>
        <w:rPr>
          <w:rFonts w:hint="eastAsia" w:ascii="Times New Roman" w:hAnsi="Times New Roman" w:eastAsia="宋体" w:cs="Times New Roman"/>
          <w:b/>
          <w:bCs/>
          <w:color w:val="000000"/>
          <w:kern w:val="2"/>
          <w:sz w:val="21"/>
          <w:szCs w:val="21"/>
          <w:highlight w:val="none"/>
          <w:u w:val="single"/>
          <w:lang w:val="en-US" w:eastAsia="zh-CN" w:bidi="ar-SA"/>
        </w:rPr>
        <w:t>长沙市轨道交通2号线一期工程运营期车站出入口硅纤板改造工程项目</w:t>
      </w:r>
      <w:r>
        <w:rPr>
          <w:rFonts w:hint="eastAsia" w:ascii="宋体" w:hAnsi="宋体" w:cs="宋体"/>
          <w:color w:val="auto"/>
          <w:highlight w:val="none"/>
        </w:rPr>
        <w:t>用户需求书。</w:t>
      </w:r>
    </w:p>
    <w:p>
      <w:pPr>
        <w:spacing w:line="360" w:lineRule="auto"/>
        <w:ind w:firstLine="420" w:firstLineChars="200"/>
        <w:rPr>
          <w:rFonts w:ascii="宋体" w:hAnsi="宋体" w:cs="宋体"/>
          <w:color w:val="auto"/>
          <w:highlight w:val="none"/>
        </w:rPr>
        <w:sectPr>
          <w:pgSz w:w="11906" w:h="16838"/>
          <w:pgMar w:top="1440" w:right="1474" w:bottom="1440" w:left="1531" w:header="851" w:footer="850" w:gutter="0"/>
          <w:pgNumType w:fmt="decimal"/>
          <w:cols w:space="0" w:num="1"/>
          <w:docGrid w:linePitch="312" w:charSpace="0"/>
        </w:sectPr>
      </w:pPr>
    </w:p>
    <w:p>
      <w:pPr>
        <w:pStyle w:val="3"/>
        <w:keepNext w:val="0"/>
        <w:rPr>
          <w:rFonts w:ascii="宋体" w:hAnsi="宋体" w:cs="宋体"/>
          <w:bCs w:val="0"/>
          <w:color w:val="auto"/>
          <w:sz w:val="32"/>
          <w:szCs w:val="32"/>
          <w:highlight w:val="none"/>
        </w:rPr>
      </w:pPr>
      <w:bookmarkStart w:id="63" w:name="_Toc12190"/>
      <w:bookmarkStart w:id="64" w:name="_Toc14103"/>
      <w:r>
        <w:rPr>
          <w:rFonts w:hint="eastAsia" w:ascii="宋体" w:hAnsi="宋体" w:cs="宋体"/>
          <w:bCs w:val="0"/>
          <w:color w:val="auto"/>
          <w:sz w:val="32"/>
          <w:szCs w:val="32"/>
          <w:highlight w:val="none"/>
        </w:rPr>
        <w:t>第五章  谈判最高限价（另册）</w:t>
      </w:r>
      <w:bookmarkEnd w:id="63"/>
      <w:bookmarkEnd w:id="64"/>
    </w:p>
    <w:p>
      <w:pPr>
        <w:rPr>
          <w:color w:val="auto"/>
          <w:highlight w:val="none"/>
        </w:rPr>
      </w:pP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ascii="宋体" w:hAnsi="宋体" w:cs="宋体"/>
          <w:color w:val="auto"/>
          <w:highlight w:val="none"/>
        </w:rPr>
      </w:pPr>
      <w:r>
        <w:rPr>
          <w:rFonts w:hint="eastAsia" w:ascii="宋体" w:hAnsi="宋体" w:cs="宋体"/>
          <w:color w:val="auto"/>
          <w:highlight w:val="none"/>
        </w:rPr>
        <w:t>本项目谈判最高限价：</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小写：</w:t>
      </w:r>
      <w:r>
        <w:rPr>
          <w:rFonts w:hint="eastAsia" w:ascii="宋体" w:hAnsi="宋体" w:cs="宋体"/>
          <w:color w:val="auto"/>
          <w:szCs w:val="21"/>
          <w:highlight w:val="none"/>
          <w:lang w:val="en-US" w:eastAsia="zh-CN"/>
        </w:rPr>
        <w:t>787611.78</w:t>
      </w:r>
      <w:r>
        <w:rPr>
          <w:rFonts w:hint="eastAsia" w:ascii="宋体" w:hAnsi="宋体" w:cs="宋体"/>
          <w:bCs/>
          <w:color w:val="auto"/>
          <w:szCs w:val="21"/>
          <w:highlight w:val="none"/>
        </w:rPr>
        <w:t>元</w:t>
      </w:r>
      <w:r>
        <w:rPr>
          <w:rFonts w:hint="eastAsia" w:ascii="宋体" w:hAnsi="宋体" w:cs="宋体"/>
          <w:color w:val="auto"/>
          <w:highlight w:val="none"/>
        </w:rPr>
        <w:t>；</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rPr>
        <w:t>大写：</w:t>
      </w:r>
      <w:r>
        <w:rPr>
          <w:rFonts w:hint="eastAsia" w:ascii="宋体" w:hAnsi="宋体" w:cs="宋体"/>
          <w:b/>
          <w:bCs/>
          <w:color w:val="auto"/>
          <w:highlight w:val="none"/>
        </w:rPr>
        <w:t>柒拾捌万柒仟陆佰壹拾壹元柒角捌分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一、长沙市轨道交通2号线一期工程运营期车站出入口硅纤板改造工程项目最高限价（含税）为</w:t>
      </w:r>
      <w:r>
        <w:rPr>
          <w:rFonts w:hint="eastAsia" w:ascii="宋体" w:hAnsi="宋体" w:cs="宋体"/>
          <w:color w:val="auto"/>
          <w:szCs w:val="21"/>
          <w:highlight w:val="none"/>
          <w:lang w:val="en-US" w:eastAsia="zh-CN"/>
        </w:rPr>
        <w:t>787611.78</w:t>
      </w:r>
      <w:r>
        <w:rPr>
          <w:rFonts w:hint="eastAsia" w:ascii="宋体" w:hAnsi="宋体" w:eastAsia="宋体" w:cs="宋体"/>
          <w:color w:val="auto"/>
          <w:kern w:val="0"/>
          <w:sz w:val="21"/>
          <w:szCs w:val="21"/>
          <w:highlight w:val="none"/>
          <w:lang w:val="en-US" w:eastAsia="zh-CN" w:bidi="ar"/>
        </w:rPr>
        <w:t>元。含税总报价不得高于公示的最高限价。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二、最高限价（含税）包含项目实施过程按相关法律政策征收的一切税费、管理费、保险费、利润以及其他一切与该项目实施有关的所有费用。</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auto"/>
          <w:kern w:val="0"/>
          <w:sz w:val="21"/>
          <w:szCs w:val="21"/>
          <w:highlight w:val="none"/>
          <w:lang w:val="en-US" w:eastAsia="zh-CN" w:bidi="ar"/>
        </w:rPr>
        <w:t>三、本项目具体工作内容以用户需求书为准，合同价格不随政府政策及市场物价上涨或回落等因素调整（税金除外）。请谈判单位依据用户需求书并充分考虑各项上涨因素后自行报价。</w:t>
      </w:r>
    </w:p>
    <w:p>
      <w:pPr>
        <w:keepNext w:val="0"/>
        <w:keepLines w:val="0"/>
        <w:pageBreakBefore w:val="0"/>
        <w:kinsoku/>
        <w:wordWrap/>
        <w:overflowPunct/>
        <w:topLinePunct w:val="0"/>
        <w:autoSpaceDE/>
        <w:autoSpaceDN/>
        <w:bidi w:val="0"/>
        <w:spacing w:line="360" w:lineRule="auto"/>
        <w:textAlignment w:val="auto"/>
        <w:rPr>
          <w:color w:val="auto"/>
          <w:highlight w:val="none"/>
        </w:rPr>
      </w:pPr>
    </w:p>
    <w:p>
      <w:pPr>
        <w:pStyle w:val="2"/>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bookmarkStart w:id="65" w:name="_Toc17441"/>
      <w:bookmarkStart w:id="66" w:name="_Toc14891078"/>
      <w:bookmarkStart w:id="67" w:name="_Toc13521"/>
      <w:bookmarkStart w:id="68" w:name="_Toc22262"/>
      <w:r>
        <w:rPr>
          <w:rFonts w:hint="eastAsia" w:ascii="宋体" w:hAnsi="宋体" w:cs="宋体"/>
          <w:color w:val="auto"/>
          <w:highlight w:val="none"/>
        </w:rPr>
        <w:t>谈判最高限价清单详见本项目谈判邀请公告附件：</w:t>
      </w:r>
      <w:r>
        <w:rPr>
          <w:rFonts w:hint="eastAsia" w:ascii="宋体" w:hAnsi="宋体" w:eastAsia="宋体" w:cs="宋体"/>
          <w:b/>
          <w:bCs/>
          <w:color w:val="auto"/>
          <w:kern w:val="0"/>
          <w:sz w:val="21"/>
          <w:szCs w:val="21"/>
          <w:highlight w:val="none"/>
          <w:u w:val="single"/>
          <w:lang w:val="en-US" w:eastAsia="zh-CN" w:bidi="ar"/>
        </w:rPr>
        <w:t>长沙市轨道交通2号线一期工程运营期车站出入口硅纤板改造工程项目</w:t>
      </w:r>
      <w:r>
        <w:rPr>
          <w:rFonts w:hint="eastAsia" w:ascii="宋体" w:hAnsi="宋体" w:cs="宋体"/>
          <w:color w:val="auto"/>
          <w:highlight w:val="none"/>
        </w:rPr>
        <w:t>最高限价。</w:t>
      </w:r>
    </w:p>
    <w:p>
      <w:pPr>
        <w:pStyle w:val="3"/>
        <w:keepNext w:val="0"/>
        <w:keepLines w:val="0"/>
        <w:pageBreakBefore w:val="0"/>
        <w:kinsoku/>
        <w:wordWrap/>
        <w:overflowPunct/>
        <w:topLinePunct w:val="0"/>
        <w:autoSpaceDE/>
        <w:autoSpaceDN/>
        <w:bidi w:val="0"/>
        <w:spacing w:line="360" w:lineRule="auto"/>
        <w:textAlignment w:val="auto"/>
        <w:rPr>
          <w:rFonts w:ascii="宋体" w:hAnsi="宋体" w:cs="宋体"/>
          <w:bCs w:val="0"/>
          <w:color w:val="auto"/>
          <w:sz w:val="32"/>
          <w:szCs w:val="32"/>
          <w:highlight w:val="none"/>
        </w:rPr>
        <w:sectPr>
          <w:headerReference r:id="rId9" w:type="default"/>
          <w:footerReference r:id="rId10" w:type="default"/>
          <w:endnotePr>
            <w:numFmt w:val="decimal"/>
          </w:endnotePr>
          <w:pgSz w:w="11906" w:h="16838"/>
          <w:pgMar w:top="1440" w:right="1474" w:bottom="1440" w:left="1531" w:header="851" w:footer="850" w:gutter="0"/>
          <w:pgNumType w:fmt="decimal"/>
          <w:cols w:space="0" w:num="1"/>
          <w:docGrid w:linePitch="312" w:charSpace="0"/>
        </w:sectPr>
      </w:pPr>
    </w:p>
    <w:p>
      <w:pPr>
        <w:pStyle w:val="3"/>
        <w:keepNext w:val="0"/>
        <w:rPr>
          <w:rFonts w:ascii="宋体" w:hAnsi="宋体" w:cs="宋体"/>
          <w:bCs w:val="0"/>
          <w:color w:val="auto"/>
          <w:sz w:val="32"/>
          <w:szCs w:val="32"/>
          <w:highlight w:val="none"/>
        </w:rPr>
      </w:pPr>
      <w:bookmarkStart w:id="69" w:name="_Toc26563"/>
      <w:bookmarkStart w:id="70" w:name="_Toc31977"/>
      <w:r>
        <w:rPr>
          <w:rFonts w:hint="eastAsia" w:ascii="宋体" w:hAnsi="宋体" w:cs="宋体"/>
          <w:bCs w:val="0"/>
          <w:color w:val="auto"/>
          <w:sz w:val="32"/>
          <w:szCs w:val="32"/>
          <w:highlight w:val="none"/>
        </w:rPr>
        <w:t>第六章  合同格式条款</w:t>
      </w:r>
      <w:bookmarkEnd w:id="65"/>
      <w:bookmarkEnd w:id="66"/>
      <w:bookmarkEnd w:id="67"/>
      <w:bookmarkEnd w:id="68"/>
      <w:bookmarkEnd w:id="69"/>
      <w:bookmarkEnd w:id="70"/>
    </w:p>
    <w:p>
      <w:pPr>
        <w:adjustRightInd w:val="0"/>
        <w:snapToGrid w:val="0"/>
        <w:spacing w:line="360" w:lineRule="auto"/>
        <w:ind w:firstLine="2880" w:firstLineChars="1200"/>
        <w:jc w:val="right"/>
        <w:rPr>
          <w:rFonts w:hint="eastAsia" w:ascii="仿宋" w:hAnsi="仿宋" w:eastAsia="仿宋" w:cs="仿宋"/>
          <w:sz w:val="22"/>
          <w:szCs w:val="18"/>
          <w:highlight w:val="none"/>
        </w:rPr>
      </w:pPr>
      <w:bookmarkStart w:id="71" w:name="_Toc5097"/>
      <w:bookmarkStart w:id="72" w:name="_Toc20891"/>
      <w:bookmarkStart w:id="73" w:name="_Toc29654"/>
      <w:r>
        <w:rPr>
          <w:rFonts w:hint="eastAsia" w:ascii="仿宋" w:hAnsi="仿宋" w:eastAsia="仿宋" w:cs="仿宋"/>
          <w:sz w:val="24"/>
          <w:highlight w:val="none"/>
        </w:rPr>
        <w:t>合同编号:</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dotted"/>
          <w:lang w:val="en-US" w:eastAsia="zh-CN"/>
        </w:rPr>
        <w:t xml:space="preserve">      </w:t>
      </w:r>
      <w:r>
        <w:rPr>
          <w:rFonts w:hint="eastAsia" w:ascii="仿宋" w:hAnsi="仿宋" w:eastAsia="仿宋" w:cs="仿宋"/>
          <w:sz w:val="24"/>
          <w:highlight w:val="none"/>
          <w:u w:val="dotted"/>
        </w:rPr>
        <w:t>合</w:t>
      </w:r>
      <w:r>
        <w:rPr>
          <w:rFonts w:hint="eastAsia" w:ascii="仿宋" w:hAnsi="仿宋" w:eastAsia="仿宋" w:cs="仿宋"/>
          <w:sz w:val="24"/>
          <w:highlight w:val="none"/>
          <w:u w:val="dotted"/>
          <w:lang w:val="en-US" w:eastAsia="zh-CN"/>
        </w:rPr>
        <w:t>同</w:t>
      </w:r>
      <w:r>
        <w:rPr>
          <w:rFonts w:hint="eastAsia" w:ascii="仿宋" w:hAnsi="仿宋" w:eastAsia="仿宋" w:cs="仿宋"/>
          <w:sz w:val="24"/>
          <w:highlight w:val="none"/>
          <w:u w:val="dotted"/>
          <w:lang w:eastAsia="zh-CN"/>
        </w:rPr>
        <w:t>【</w:t>
      </w:r>
      <w:r>
        <w:rPr>
          <w:rFonts w:hint="eastAsia" w:ascii="仿宋" w:hAnsi="仿宋" w:eastAsia="仿宋" w:cs="仿宋"/>
          <w:sz w:val="24"/>
          <w:highlight w:val="none"/>
          <w:u w:val="dotted"/>
          <w:lang w:val="en-US" w:eastAsia="zh-CN"/>
        </w:rPr>
        <w:t xml:space="preserve">   </w:t>
      </w:r>
      <w:r>
        <w:rPr>
          <w:rFonts w:hint="eastAsia" w:ascii="仿宋" w:hAnsi="仿宋" w:eastAsia="仿宋" w:cs="仿宋"/>
          <w:sz w:val="24"/>
          <w:highlight w:val="none"/>
          <w:u w:val="dotted"/>
          <w:lang w:eastAsia="zh-CN"/>
        </w:rPr>
        <w:t>】</w:t>
      </w:r>
      <w:r>
        <w:rPr>
          <w:rFonts w:hint="eastAsia" w:ascii="仿宋" w:hAnsi="仿宋" w:eastAsia="仿宋" w:cs="仿宋"/>
          <w:sz w:val="24"/>
          <w:highlight w:val="none"/>
          <w:u w:val="dotted"/>
        </w:rPr>
        <w:t xml:space="preserve"> </w:t>
      </w:r>
      <w:r>
        <w:rPr>
          <w:rFonts w:hint="eastAsia" w:ascii="仿宋" w:hAnsi="仿宋" w:eastAsia="仿宋" w:cs="仿宋"/>
          <w:sz w:val="24"/>
          <w:highlight w:val="none"/>
          <w:u w:val="dotted"/>
          <w:lang w:val="en-US" w:eastAsia="zh-CN"/>
        </w:rPr>
        <w:t xml:space="preserve"> </w:t>
      </w:r>
      <w:r>
        <w:rPr>
          <w:rFonts w:hint="eastAsia" w:ascii="仿宋" w:hAnsi="仿宋" w:eastAsia="仿宋" w:cs="仿宋"/>
          <w:sz w:val="24"/>
          <w:highlight w:val="none"/>
          <w:u w:val="dotted"/>
        </w:rPr>
        <w:t>号</w:t>
      </w:r>
    </w:p>
    <w:p>
      <w:pPr>
        <w:adjustRightInd w:val="0"/>
        <w:snapToGrid w:val="0"/>
        <w:spacing w:line="360" w:lineRule="auto"/>
        <w:rPr>
          <w:rFonts w:hint="eastAsia" w:ascii="仿宋" w:hAnsi="仿宋" w:eastAsia="仿宋" w:cs="仿宋"/>
          <w:b/>
          <w:sz w:val="18"/>
          <w:szCs w:val="18"/>
          <w:highlight w:val="none"/>
        </w:rPr>
      </w:pPr>
    </w:p>
    <w:p>
      <w:pPr>
        <w:adjustRightInd w:val="0"/>
        <w:snapToGrid w:val="0"/>
        <w:spacing w:line="360" w:lineRule="auto"/>
        <w:rPr>
          <w:rFonts w:hint="eastAsia" w:ascii="仿宋" w:hAnsi="仿宋" w:eastAsia="仿宋" w:cs="仿宋"/>
          <w:b/>
          <w:sz w:val="18"/>
          <w:szCs w:val="18"/>
          <w:highlight w:val="none"/>
        </w:rPr>
      </w:pPr>
    </w:p>
    <w:p>
      <w:pPr>
        <w:adjustRightInd w:val="0"/>
        <w:snapToGrid w:val="0"/>
        <w:spacing w:line="360" w:lineRule="auto"/>
        <w:rPr>
          <w:rFonts w:hint="eastAsia" w:ascii="仿宋" w:hAnsi="仿宋" w:eastAsia="仿宋" w:cs="仿宋"/>
          <w:b/>
          <w:sz w:val="18"/>
          <w:szCs w:val="18"/>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sz w:val="18"/>
          <w:szCs w:val="18"/>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sz w:val="18"/>
          <w:szCs w:val="18"/>
          <w:highlight w:val="none"/>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outlineLvl w:val="9"/>
        <w:rPr>
          <w:rFonts w:hint="eastAsia" w:ascii="仿宋" w:hAnsi="仿宋" w:eastAsia="仿宋" w:cs="仿宋"/>
          <w:b/>
          <w:sz w:val="48"/>
          <w:szCs w:val="48"/>
          <w:highlight w:val="none"/>
        </w:rPr>
      </w:pPr>
      <w:r>
        <w:rPr>
          <w:rFonts w:hint="eastAsia" w:ascii="仿宋" w:hAnsi="仿宋" w:eastAsia="仿宋" w:cs="仿宋"/>
          <w:b/>
          <w:spacing w:val="20"/>
          <w:sz w:val="52"/>
          <w:szCs w:val="52"/>
          <w:highlight w:val="none"/>
        </w:rPr>
        <w:t>工程项目合同</w:t>
      </w:r>
      <w:r>
        <w:rPr>
          <w:rFonts w:hint="eastAsia" w:ascii="仿宋" w:hAnsi="仿宋" w:eastAsia="仿宋" w:cs="仿宋"/>
          <w:b/>
          <w:spacing w:val="20"/>
          <w:sz w:val="48"/>
          <w:szCs w:val="48"/>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421" w:firstLineChars="233"/>
        <w:textAlignment w:val="auto"/>
        <w:outlineLvl w:val="9"/>
        <w:rPr>
          <w:rFonts w:hint="eastAsia" w:ascii="仿宋" w:hAnsi="仿宋" w:eastAsia="仿宋" w:cs="仿宋"/>
          <w:b/>
          <w:sz w:val="18"/>
          <w:szCs w:val="18"/>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项目名称：</w:t>
      </w:r>
      <w:r>
        <w:rPr>
          <w:rFonts w:hint="eastAsia" w:ascii="仿宋" w:hAnsi="仿宋" w:eastAsia="仿宋" w:cs="仿宋"/>
          <w:b/>
          <w:sz w:val="28"/>
          <w:szCs w:val="28"/>
          <w:highlight w:val="none"/>
          <w:u w:val="dotted"/>
          <w:lang w:val="en-US" w:eastAsia="zh-CN"/>
        </w:rPr>
        <w:t>长沙市轨道交通2号线一期工程运营期车站出入口硅纤板改造工程项目</w:t>
      </w:r>
      <w:r>
        <w:rPr>
          <w:rFonts w:hint="eastAsia" w:ascii="仿宋" w:hAnsi="仿宋" w:eastAsia="仿宋" w:cs="仿宋"/>
          <w:b/>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p>
    <w:p>
      <w:pPr>
        <w:pStyle w:val="2"/>
        <w:keepNext w:val="0"/>
        <w:keepLines w:val="0"/>
        <w:pageBreakBefore w:val="0"/>
        <w:kinsoku/>
        <w:wordWrap/>
        <w:overflowPunct/>
        <w:topLinePunct w:val="0"/>
        <w:autoSpaceDE/>
        <w:autoSpaceDN/>
        <w:bidi w:val="0"/>
        <w:textAlignment w:val="auto"/>
        <w:outlineLvl w:val="9"/>
        <w:rPr>
          <w:rFonts w:hint="eastAsia"/>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工程地点：</w:t>
      </w:r>
      <w:r>
        <w:rPr>
          <w:rFonts w:hint="eastAsia" w:ascii="仿宋" w:hAnsi="仿宋" w:eastAsia="仿宋" w:cs="仿宋"/>
          <w:b/>
          <w:sz w:val="28"/>
          <w:szCs w:val="28"/>
          <w:highlight w:val="none"/>
          <w:u w:val="dotted"/>
        </w:rPr>
        <w:t>湖南省长沙市</w:t>
      </w:r>
      <w:r>
        <w:rPr>
          <w:rFonts w:hint="eastAsia" w:ascii="仿宋" w:hAnsi="仿宋" w:eastAsia="仿宋" w:cs="仿宋"/>
          <w:b/>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p>
    <w:p>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仿宋"/>
          <w:b/>
          <w:sz w:val="28"/>
          <w:szCs w:val="28"/>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甲方：</w:t>
      </w:r>
      <w:r>
        <w:rPr>
          <w:rFonts w:hint="eastAsia" w:ascii="仿宋" w:hAnsi="仿宋" w:eastAsia="仿宋" w:cs="仿宋"/>
          <w:b/>
          <w:sz w:val="28"/>
          <w:szCs w:val="28"/>
          <w:highlight w:val="none"/>
          <w:u w:val="dotted"/>
          <w:lang w:val="en-US" w:eastAsia="zh-CN"/>
        </w:rPr>
        <w:t>长沙市轨道交通运营有限公司</w:t>
      </w:r>
      <w:r>
        <w:rPr>
          <w:rFonts w:hint="eastAsia" w:ascii="仿宋" w:hAnsi="仿宋" w:eastAsia="仿宋" w:cs="仿宋"/>
          <w:b/>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jc w:val="left"/>
        <w:textAlignment w:val="auto"/>
        <w:outlineLvl w:val="9"/>
        <w:rPr>
          <w:rFonts w:hint="eastAsia" w:ascii="仿宋" w:hAnsi="仿宋" w:eastAsia="仿宋" w:cs="仿宋"/>
          <w:b/>
          <w:sz w:val="28"/>
          <w:szCs w:val="28"/>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rPr>
        <w:t>乙方：</w:t>
      </w:r>
      <w:r>
        <w:rPr>
          <w:rFonts w:hint="eastAsia" w:ascii="仿宋" w:hAnsi="仿宋" w:eastAsia="仿宋" w:cs="仿宋"/>
          <w:b/>
          <w:sz w:val="28"/>
          <w:szCs w:val="28"/>
          <w:highlight w:val="none"/>
          <w:u w:val="dotted"/>
        </w:rPr>
        <w:t xml:space="preserve"> </w:t>
      </w:r>
      <w:r>
        <w:rPr>
          <w:rFonts w:hint="eastAsia" w:ascii="仿宋" w:hAnsi="仿宋" w:eastAsia="仿宋" w:cs="仿宋"/>
          <w:b/>
          <w:sz w:val="28"/>
          <w:szCs w:val="28"/>
          <w:highlight w:val="none"/>
          <w:u w:val="dotted"/>
          <w:lang w:val="en-US" w:eastAsia="zh-CN"/>
        </w:rPr>
        <w:t xml:space="preserve">                        </w:t>
      </w:r>
      <w:r>
        <w:rPr>
          <w:rFonts w:hint="eastAsia" w:ascii="仿宋" w:hAnsi="仿宋" w:eastAsia="仿宋" w:cs="仿宋"/>
          <w:b/>
          <w:sz w:val="28"/>
          <w:szCs w:val="28"/>
          <w:highlight w:val="none"/>
          <w:u w:val="dotted"/>
        </w:rPr>
        <w:t xml:space="preserve">  </w:t>
      </w:r>
      <w:r>
        <w:rPr>
          <w:rFonts w:hint="eastAsia" w:ascii="仿宋" w:hAnsi="仿宋" w:eastAsia="仿宋" w:cs="仿宋"/>
          <w:b/>
          <w:sz w:val="28"/>
          <w:szCs w:val="28"/>
          <w:highlight w:val="none"/>
        </w:rPr>
        <w:t xml:space="preserve"> </w:t>
      </w:r>
    </w:p>
    <w:p>
      <w:pPr>
        <w:keepNext w:val="0"/>
        <w:keepLines w:val="0"/>
        <w:pageBreakBefore w:val="0"/>
        <w:kinsoku/>
        <w:wordWrap/>
        <w:overflowPunct/>
        <w:topLinePunct w:val="0"/>
        <w:autoSpaceDE/>
        <w:autoSpaceDN/>
        <w:bidi w:val="0"/>
        <w:adjustRightInd w:val="0"/>
        <w:snapToGrid w:val="0"/>
        <w:spacing w:line="360" w:lineRule="auto"/>
        <w:ind w:left="0" w:leftChars="0" w:firstLine="655" w:firstLineChars="233"/>
        <w:jc w:val="left"/>
        <w:textAlignment w:val="auto"/>
        <w:outlineLvl w:val="9"/>
        <w:rPr>
          <w:rFonts w:hint="eastAsia" w:ascii="仿宋" w:hAnsi="仿宋" w:eastAsia="仿宋" w:cs="仿宋"/>
          <w:b/>
          <w:sz w:val="28"/>
          <w:szCs w:val="28"/>
          <w:highlight w:val="none"/>
        </w:rPr>
      </w:pPr>
    </w:p>
    <w:p>
      <w:pPr>
        <w:keepNext w:val="0"/>
        <w:keepLines w:val="0"/>
        <w:pageBreakBefore w:val="0"/>
        <w:kinsoku/>
        <w:wordWrap/>
        <w:overflowPunct/>
        <w:topLinePunct w:val="0"/>
        <w:autoSpaceDE/>
        <w:autoSpaceDN/>
        <w:bidi w:val="0"/>
        <w:adjustRightInd w:val="0"/>
        <w:snapToGrid w:val="0"/>
        <w:spacing w:line="360" w:lineRule="auto"/>
        <w:ind w:left="0" w:leftChars="0" w:firstLine="421" w:firstLineChars="233"/>
        <w:textAlignment w:val="auto"/>
        <w:outlineLvl w:val="9"/>
        <w:rPr>
          <w:rFonts w:hint="eastAsia" w:ascii="仿宋" w:hAnsi="仿宋" w:eastAsia="仿宋" w:cs="仿宋"/>
          <w:b/>
          <w:sz w:val="18"/>
          <w:szCs w:val="18"/>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 w:hAnsi="仿宋" w:eastAsia="仿宋" w:cs="仿宋"/>
          <w:b/>
          <w:sz w:val="24"/>
          <w:szCs w:val="24"/>
          <w:highlight w:val="none"/>
        </w:rPr>
        <w:sectPr>
          <w:headerReference r:id="rId11" w:type="default"/>
          <w:footerReference r:id="rId12" w:type="default"/>
          <w:endnotePr>
            <w:numFmt w:val="decimal"/>
          </w:endnotePr>
          <w:pgSz w:w="11906" w:h="16838"/>
          <w:pgMar w:top="1440" w:right="1440" w:bottom="1440" w:left="1440" w:header="851" w:footer="851" w:gutter="0"/>
          <w:pgNumType w:fmt="decimal"/>
          <w:cols w:space="720" w:num="1"/>
          <w:docGrid w:type="lines" w:linePitch="312" w:charSpace="0"/>
        </w:sectPr>
      </w:pPr>
    </w:p>
    <w:p>
      <w:pPr>
        <w:keepNext w:val="0"/>
        <w:keepLines w:val="0"/>
        <w:pageBreakBefore w:val="0"/>
        <w:widowControl w:val="0"/>
        <w:numPr>
          <w:ilvl w:val="0"/>
          <w:numId w:val="0"/>
        </w:numPr>
        <w:tabs>
          <w:tab w:val="left" w:pos="2799"/>
        </w:tabs>
        <w:kinsoku/>
        <w:wordWrap/>
        <w:overflowPunct/>
        <w:topLinePunct w:val="0"/>
        <w:autoSpaceDE/>
        <w:autoSpaceDN/>
        <w:bidi w:val="0"/>
        <w:adjustRightInd w:val="0"/>
        <w:snapToGrid w:val="0"/>
        <w:spacing w:line="360" w:lineRule="auto"/>
        <w:ind w:leftChars="0" w:right="0" w:rightChars="0"/>
        <w:jc w:val="center"/>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highlight w:val="none"/>
          <w:u w:val="dotted"/>
        </w:rPr>
      </w:pPr>
      <w:r>
        <w:rPr>
          <w:rFonts w:hint="eastAsia" w:ascii="仿宋_GB2312" w:hAnsi="仿宋_GB2312" w:eastAsia="仿宋_GB2312" w:cs="仿宋_GB2312"/>
          <w:b/>
          <w:sz w:val="24"/>
          <w:szCs w:val="24"/>
          <w:highlight w:val="none"/>
          <w:lang w:eastAsia="zh-CN"/>
        </w:rPr>
        <w:t>甲方</w:t>
      </w:r>
      <w:r>
        <w:rPr>
          <w:rFonts w:hint="eastAsia" w:ascii="仿宋_GB2312" w:hAnsi="仿宋_GB2312" w:eastAsia="仿宋_GB2312" w:cs="仿宋_GB2312"/>
          <w:b/>
          <w:sz w:val="24"/>
          <w:szCs w:val="24"/>
          <w:highlight w:val="none"/>
        </w:rPr>
        <w:t>（全称）:</w:t>
      </w:r>
      <w:r>
        <w:rPr>
          <w:rFonts w:hint="eastAsia" w:ascii="仿宋_GB2312" w:hAnsi="仿宋_GB2312" w:eastAsia="仿宋_GB2312" w:cs="仿宋_GB2312"/>
          <w:sz w:val="24"/>
          <w:szCs w:val="24"/>
          <w:highlight w:val="none"/>
          <w:u w:val="single"/>
          <w:lang w:val="en-US" w:eastAsia="zh-CN"/>
        </w:rPr>
        <w:t>长沙市轨道交通运营有限公司</w:t>
      </w:r>
      <w:r>
        <w:rPr>
          <w:rFonts w:hint="eastAsia" w:ascii="仿宋_GB2312" w:hAnsi="仿宋_GB2312" w:eastAsia="仿宋_GB2312" w:cs="仿宋_GB2312"/>
          <w:bCs/>
          <w:snapToGrid w:val="0"/>
          <w:kern w:val="0"/>
          <w:sz w:val="24"/>
          <w:szCs w:val="24"/>
          <w:highlight w:val="none"/>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highlight w:val="none"/>
          <w:u w:val="dotted"/>
        </w:rPr>
      </w:pPr>
      <w:r>
        <w:rPr>
          <w:rFonts w:hint="eastAsia" w:ascii="仿宋_GB2312" w:hAnsi="仿宋_GB2312" w:eastAsia="仿宋_GB2312" w:cs="仿宋_GB2312"/>
          <w:b/>
          <w:sz w:val="24"/>
          <w:szCs w:val="24"/>
          <w:highlight w:val="none"/>
          <w:lang w:eastAsia="zh-CN"/>
        </w:rPr>
        <w:t>乙方</w:t>
      </w:r>
      <w:r>
        <w:rPr>
          <w:rFonts w:hint="eastAsia" w:ascii="仿宋_GB2312" w:hAnsi="仿宋_GB2312" w:eastAsia="仿宋_GB2312" w:cs="仿宋_GB2312"/>
          <w:b/>
          <w:sz w:val="24"/>
          <w:szCs w:val="24"/>
          <w:highlight w:val="none"/>
        </w:rPr>
        <w:t>（全称）</w:t>
      </w:r>
      <w:r>
        <w:rPr>
          <w:rFonts w:hint="eastAsia" w:ascii="仿宋_GB2312" w:hAnsi="仿宋_GB2312" w:eastAsia="仿宋_GB2312" w:cs="仿宋_GB2312"/>
          <w:bCs/>
          <w:snapToGrid w:val="0"/>
          <w:kern w:val="0"/>
          <w:sz w:val="24"/>
          <w:szCs w:val="24"/>
          <w:highlight w:val="none"/>
        </w:rPr>
        <w:t>:</w:t>
      </w:r>
      <w:r>
        <w:rPr>
          <w:rFonts w:hint="eastAsia" w:ascii="仿宋_GB2312" w:hAnsi="仿宋_GB2312" w:eastAsia="仿宋_GB2312" w:cs="仿宋_GB2312"/>
          <w:bCs/>
          <w:snapToGrid w:val="0"/>
          <w:kern w:val="0"/>
          <w:sz w:val="24"/>
          <w:szCs w:val="24"/>
          <w:highlight w:val="none"/>
          <w:u w:val="single"/>
        </w:rPr>
        <w:t xml:space="preserve"> </w:t>
      </w:r>
      <w:r>
        <w:rPr>
          <w:rFonts w:hint="eastAsia" w:ascii="仿宋_GB2312" w:hAnsi="仿宋_GB2312" w:eastAsia="仿宋_GB2312" w:cs="仿宋_GB2312"/>
          <w:bCs/>
          <w:snapToGrid w:val="0"/>
          <w:kern w:val="0"/>
          <w:sz w:val="24"/>
          <w:szCs w:val="24"/>
          <w:highlight w:val="none"/>
          <w:u w:val="single"/>
          <w:lang w:val="en-US" w:eastAsia="zh-CN"/>
        </w:rPr>
        <w:t xml:space="preserve">                     </w:t>
      </w:r>
      <w:r>
        <w:rPr>
          <w:rFonts w:hint="eastAsia" w:ascii="仿宋_GB2312" w:hAnsi="仿宋_GB2312" w:eastAsia="仿宋_GB2312" w:cs="仿宋_GB2312"/>
          <w:bCs/>
          <w:snapToGrid w:val="0"/>
          <w:kern w:val="0"/>
          <w:sz w:val="24"/>
          <w:szCs w:val="24"/>
          <w:highlight w:val="none"/>
          <w:u w:val="single"/>
        </w:rPr>
        <w:t xml:space="preserve"> </w:t>
      </w:r>
      <w:r>
        <w:rPr>
          <w:rFonts w:hint="eastAsia" w:ascii="仿宋_GB2312" w:hAnsi="仿宋_GB2312" w:eastAsia="仿宋_GB2312" w:cs="仿宋_GB2312"/>
          <w:bCs/>
          <w:snapToGrid w:val="0"/>
          <w:kern w:val="0"/>
          <w:sz w:val="24"/>
          <w:szCs w:val="24"/>
          <w:highlight w:val="none"/>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根据《中华人民共和国</w:t>
      </w:r>
      <w:r>
        <w:rPr>
          <w:rFonts w:hint="eastAsia" w:ascii="仿宋_GB2312" w:hAnsi="仿宋_GB2312" w:eastAsia="仿宋_GB2312" w:cs="仿宋_GB2312"/>
          <w:sz w:val="24"/>
          <w:szCs w:val="24"/>
          <w:highlight w:val="none"/>
          <w:lang w:eastAsia="zh-CN"/>
        </w:rPr>
        <w:t>民</w:t>
      </w:r>
      <w:r>
        <w:rPr>
          <w:rFonts w:hint="eastAsia" w:ascii="仿宋_GB2312" w:hAnsi="仿宋_GB2312" w:eastAsia="仿宋_GB2312" w:cs="仿宋_GB2312"/>
          <w:sz w:val="24"/>
          <w:szCs w:val="24"/>
          <w:highlight w:val="none"/>
        </w:rPr>
        <w:t>法</w:t>
      </w:r>
      <w:r>
        <w:rPr>
          <w:rFonts w:hint="eastAsia" w:ascii="仿宋_GB2312" w:hAnsi="仿宋_GB2312" w:eastAsia="仿宋_GB2312" w:cs="仿宋_GB2312"/>
          <w:sz w:val="24"/>
          <w:szCs w:val="24"/>
          <w:highlight w:val="none"/>
          <w:lang w:eastAsia="zh-CN"/>
        </w:rPr>
        <w:t>典</w:t>
      </w:r>
      <w:r>
        <w:rPr>
          <w:rFonts w:hint="eastAsia" w:ascii="仿宋_GB2312" w:hAnsi="仿宋_GB2312" w:eastAsia="仿宋_GB2312" w:cs="仿宋_GB2312"/>
          <w:sz w:val="24"/>
          <w:szCs w:val="24"/>
          <w:highlight w:val="none"/>
        </w:rPr>
        <w:t>》、《中华人民共和国建筑法》、《中华人民共和国招标投标法》等相关法律法规的规定，遵循平等、自愿、公平和诚实信用的原则，双方就项目工程建设及有关事项协商一致，共同签订本合同。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1.1工程名称：</w:t>
      </w:r>
      <w:r>
        <w:rPr>
          <w:rFonts w:hint="eastAsia" w:ascii="仿宋_GB2312" w:hAnsi="仿宋_GB2312" w:eastAsia="仿宋_GB2312" w:cs="仿宋_GB2312"/>
          <w:sz w:val="24"/>
          <w:szCs w:val="24"/>
          <w:highlight w:val="none"/>
          <w:u w:val="single"/>
          <w:lang w:val="en-US" w:eastAsia="zh-CN"/>
        </w:rPr>
        <w:t>长沙市轨道交通2号线一期工程运营期车站出入口硅纤板改造工程项目</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1.2工程地点：</w:t>
      </w:r>
      <w:r>
        <w:rPr>
          <w:rFonts w:hint="eastAsia" w:ascii="仿宋_GB2312" w:hAnsi="仿宋_GB2312" w:eastAsia="仿宋_GB2312" w:cs="仿宋_GB2312"/>
          <w:sz w:val="24"/>
          <w:szCs w:val="24"/>
          <w:highlight w:val="none"/>
          <w:u w:val="single"/>
          <w:lang w:val="en-US" w:eastAsia="zh-CN"/>
        </w:rPr>
        <w:t>与招采文件一致</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1.3工程内容：</w:t>
      </w:r>
      <w:r>
        <w:rPr>
          <w:rFonts w:hint="eastAsia" w:ascii="仿宋_GB2312" w:hAnsi="仿宋_GB2312" w:eastAsia="仿宋_GB2312" w:cs="仿宋_GB2312"/>
          <w:sz w:val="24"/>
          <w:szCs w:val="24"/>
          <w:highlight w:val="none"/>
          <w:u w:val="single"/>
          <w:lang w:val="en-US" w:eastAsia="zh-CN"/>
        </w:rPr>
        <w:t>与招采文件一致</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1.4工程承包范围：</w:t>
      </w:r>
      <w:bookmarkStart w:id="74" w:name="_Toc414154001"/>
      <w:r>
        <w:rPr>
          <w:rFonts w:hint="eastAsia" w:ascii="仿宋_GB2312" w:hAnsi="仿宋_GB2312" w:eastAsia="仿宋_GB2312" w:cs="仿宋_GB2312"/>
          <w:sz w:val="24"/>
          <w:szCs w:val="24"/>
          <w:highlight w:val="none"/>
          <w:u w:val="single"/>
          <w:lang w:val="en-US" w:eastAsia="zh-CN"/>
        </w:rPr>
        <w:t>与招采文件一致</w:t>
      </w:r>
      <w:r>
        <w:rPr>
          <w:rFonts w:hint="eastAsia" w:ascii="仿宋_GB2312" w:hAnsi="仿宋_GB2312" w:eastAsia="仿宋_GB2312" w:cs="仿宋_GB2312"/>
          <w:sz w:val="24"/>
          <w:szCs w:val="24"/>
          <w:highlight w:val="none"/>
        </w:rPr>
        <w:t>。</w:t>
      </w:r>
    </w:p>
    <w:bookmarkEnd w:id="74"/>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bookmarkStart w:id="75" w:name="_Toc414154003"/>
      <w:r>
        <w:rPr>
          <w:rFonts w:hint="eastAsia" w:ascii="仿宋_GB2312" w:hAnsi="仿宋_GB2312" w:eastAsia="仿宋_GB2312" w:cs="仿宋_GB2312"/>
          <w:b/>
          <w:bCs/>
          <w:sz w:val="24"/>
          <w:szCs w:val="24"/>
          <w:highlight w:val="none"/>
        </w:rPr>
        <w:t>2、合同工期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u w:val="single"/>
          <w:lang w:val="en-US" w:eastAsia="zh-CN"/>
        </w:rPr>
        <w:t>与招采文件一致</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3.1签约合同价为：人民币（大写）</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3.2合同</w:t>
      </w:r>
      <w:r>
        <w:rPr>
          <w:rFonts w:hint="eastAsia" w:ascii="仿宋_GB2312" w:hAnsi="仿宋_GB2312" w:eastAsia="仿宋_GB2312" w:cs="仿宋_GB2312"/>
          <w:sz w:val="24"/>
          <w:szCs w:val="24"/>
          <w:highlight w:val="none"/>
          <w:lang w:eastAsia="zh-CN"/>
        </w:rPr>
        <w:t>价格方式</w:t>
      </w:r>
      <w:r>
        <w:rPr>
          <w:rFonts w:hint="eastAsia"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highlight w:val="none"/>
          <w:u w:val="none"/>
          <w:lang w:eastAsia="zh-CN"/>
        </w:rPr>
      </w:pPr>
      <w:r>
        <w:rPr>
          <w:rFonts w:hint="eastAsia" w:ascii="仿宋_GB2312" w:hAnsi="仿宋_GB2312" w:eastAsia="仿宋_GB2312" w:cs="仿宋_GB2312"/>
          <w:sz w:val="24"/>
          <w:szCs w:val="24"/>
          <w:highlight w:val="none"/>
          <w:u w:val="none"/>
          <w:lang w:eastAsia="zh-CN"/>
        </w:rPr>
        <w:sym w:font="Wingdings" w:char="00FE"/>
      </w:r>
      <w:r>
        <w:rPr>
          <w:rFonts w:hint="eastAsia" w:ascii="仿宋_GB2312" w:hAnsi="仿宋_GB2312" w:eastAsia="仿宋_GB2312" w:cs="仿宋_GB2312"/>
          <w:sz w:val="24"/>
          <w:highlight w:val="none"/>
          <w:u w:val="none"/>
          <w:lang w:eastAsia="zh-CN"/>
        </w:rPr>
        <w:t>单价</w:t>
      </w:r>
      <w:r>
        <w:rPr>
          <w:rFonts w:hint="eastAsia" w:ascii="仿宋_GB2312" w:hAnsi="仿宋_GB2312" w:eastAsia="仿宋_GB2312" w:cs="仿宋_GB2312"/>
          <w:sz w:val="24"/>
          <w:highlight w:val="none"/>
          <w:u w:val="none"/>
        </w:rPr>
        <w:t>合同</w:t>
      </w:r>
      <w:r>
        <w:rPr>
          <w:rFonts w:hint="eastAsia" w:ascii="仿宋_GB2312" w:hAnsi="仿宋_GB2312" w:eastAsia="仿宋_GB2312" w:cs="仿宋_GB2312"/>
          <w:sz w:val="24"/>
          <w:highlight w:val="none"/>
          <w:u w:val="none"/>
          <w:lang w:eastAsia="zh-CN"/>
        </w:rPr>
        <w:t>，合同单</w:t>
      </w:r>
      <w:r>
        <w:rPr>
          <w:rFonts w:hint="eastAsia" w:ascii="仿宋_GB2312" w:hAnsi="仿宋_GB2312" w:eastAsia="仿宋_GB2312" w:cs="仿宋_GB2312"/>
          <w:sz w:val="24"/>
          <w:highlight w:val="none"/>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仿宋_GB2312" w:hAnsi="仿宋_GB2312" w:eastAsia="仿宋_GB2312" w:cs="仿宋_GB2312"/>
          <w:sz w:val="24"/>
          <w:highlight w:val="none"/>
          <w:u w:val="none"/>
          <w:lang w:val="en-US" w:eastAsia="zh-CN"/>
        </w:rPr>
        <w:t>(水电费除外）</w:t>
      </w:r>
      <w:r>
        <w:rPr>
          <w:rFonts w:hint="eastAsia" w:ascii="仿宋_GB2312" w:hAnsi="仿宋_GB2312" w:eastAsia="仿宋_GB2312" w:cs="仿宋_GB2312"/>
          <w:sz w:val="24"/>
          <w:highlight w:val="none"/>
          <w:u w:val="none"/>
        </w:rPr>
        <w:t>。乙方根据工程数量与价格表资料以及相应的经乙方和甲方共同签字确认原始测量验收资料和工程数量计算资料作为结算依据。</w:t>
      </w:r>
      <w:r>
        <w:rPr>
          <w:rFonts w:hint="eastAsia" w:ascii="仿宋_GB2312" w:hAnsi="仿宋_GB2312" w:eastAsia="仿宋_GB2312" w:cs="仿宋_GB2312"/>
          <w:sz w:val="24"/>
          <w:highlight w:val="none"/>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u w:val="none"/>
          <w:lang w:eastAsia="zh-CN"/>
        </w:rPr>
        <w:sym w:font="Wingdings" w:char="00A8"/>
      </w:r>
      <w:r>
        <w:rPr>
          <w:rFonts w:hint="eastAsia" w:ascii="仿宋_GB2312" w:hAnsi="仿宋_GB2312" w:eastAsia="仿宋_GB2312" w:cs="仿宋_GB2312"/>
          <w:sz w:val="24"/>
          <w:szCs w:val="24"/>
          <w:highlight w:val="none"/>
          <w:u w:val="none"/>
          <w:lang w:eastAsia="zh-CN"/>
        </w:rPr>
        <w:t>总</w:t>
      </w:r>
      <w:r>
        <w:rPr>
          <w:rFonts w:hint="eastAsia" w:ascii="仿宋_GB2312" w:hAnsi="仿宋_GB2312" w:eastAsia="仿宋_GB2312" w:cs="仿宋_GB2312"/>
          <w:sz w:val="24"/>
          <w:highlight w:val="none"/>
          <w:u w:val="none"/>
          <w:lang w:eastAsia="zh-CN"/>
        </w:rPr>
        <w:t>价</w:t>
      </w:r>
      <w:r>
        <w:rPr>
          <w:rFonts w:hint="eastAsia" w:ascii="仿宋_GB2312" w:hAnsi="仿宋_GB2312" w:eastAsia="仿宋_GB2312" w:cs="仿宋_GB2312"/>
          <w:sz w:val="24"/>
          <w:highlight w:val="none"/>
          <w:u w:val="none"/>
        </w:rPr>
        <w:t>合同</w:t>
      </w:r>
      <w:r>
        <w:rPr>
          <w:rFonts w:hint="eastAsia" w:ascii="仿宋_GB2312" w:hAnsi="仿宋_GB2312" w:eastAsia="仿宋_GB2312" w:cs="仿宋_GB2312"/>
          <w:sz w:val="24"/>
          <w:highlight w:val="none"/>
          <w:u w:val="none"/>
          <w:lang w:eastAsia="zh-CN"/>
        </w:rPr>
        <w:t>，合同</w:t>
      </w:r>
      <w:r>
        <w:rPr>
          <w:rFonts w:hint="eastAsia" w:ascii="仿宋_GB2312" w:hAnsi="仿宋_GB2312" w:eastAsia="仿宋_GB2312" w:cs="仿宋_GB2312"/>
          <w:sz w:val="24"/>
          <w:highlight w:val="none"/>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w:t>
      </w:r>
      <w:r>
        <w:rPr>
          <w:rFonts w:hint="eastAsia" w:ascii="仿宋_GB2312" w:hAnsi="仿宋_GB2312" w:eastAsia="仿宋_GB2312" w:cs="仿宋_GB2312"/>
          <w:sz w:val="24"/>
          <w:highlight w:val="none"/>
          <w:u w:val="none"/>
          <w:lang w:val="en-US" w:eastAsia="zh-CN"/>
        </w:rPr>
        <w:t>(水电费除外）</w:t>
      </w:r>
      <w:r>
        <w:rPr>
          <w:rFonts w:hint="eastAsia" w:ascii="仿宋_GB2312" w:hAnsi="仿宋_GB2312" w:eastAsia="仿宋_GB2312" w:cs="仿宋_GB2312"/>
          <w:sz w:val="24"/>
          <w:highlight w:val="none"/>
          <w:u w:val="none"/>
        </w:rPr>
        <w:t>。乙方根据工程数量与价格表资料以及相应的经乙方和甲方共同签字确认原始测量验收资料和工程数量计算资料作为结算依据。</w:t>
      </w:r>
      <w:r>
        <w:rPr>
          <w:rFonts w:hint="eastAsia" w:ascii="仿宋_GB2312" w:hAnsi="仿宋_GB2312" w:eastAsia="仿宋_GB2312" w:cs="仿宋_GB2312"/>
          <w:sz w:val="24"/>
          <w:highlight w:val="none"/>
          <w:u w:val="none"/>
          <w:lang w:eastAsia="zh-CN"/>
        </w:rPr>
        <w:t>最终结算价格不得超过签约合同价</w:t>
      </w:r>
      <w:r>
        <w:rPr>
          <w:rFonts w:hint="eastAsia" w:ascii="仿宋_GB2312" w:hAnsi="仿宋_GB2312" w:eastAsia="仿宋_GB2312" w:cs="仿宋_GB2312"/>
          <w:sz w:val="24"/>
          <w:szCs w:val="24"/>
          <w:highlight w:val="none"/>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4、合同文件</w:t>
      </w:r>
      <w:r>
        <w:rPr>
          <w:rFonts w:hint="eastAsia" w:ascii="仿宋_GB2312" w:hAnsi="仿宋_GB2312" w:eastAsia="仿宋_GB2312" w:cs="仿宋_GB2312"/>
          <w:b/>
          <w:bCs/>
          <w:sz w:val="24"/>
          <w:szCs w:val="24"/>
          <w:highlight w:val="none"/>
          <w:lang w:eastAsia="zh-CN"/>
        </w:rPr>
        <w:t>构</w:t>
      </w:r>
      <w:r>
        <w:rPr>
          <w:rFonts w:hint="eastAsia" w:ascii="仿宋_GB2312" w:hAnsi="仿宋_GB2312" w:eastAsia="仿宋_GB2312" w:cs="仿宋_GB2312"/>
          <w:b/>
          <w:bCs/>
          <w:sz w:val="24"/>
          <w:szCs w:val="24"/>
          <w:highlight w:val="none"/>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组成本合同的文件包括：</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（1）补充协议（如果有）；</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（2）合同协议书；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（3）中选通知书/谈判记录表；</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（4）用户需求书/技术规格书；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（6）技术标准及要求;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（7）签约合同价清单；</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（8）合同附件及承包人按合同附录格式及要求出具的文件；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（9）自主竞争性谈判文件/直接委托谈判文件、澄清与答疑文件及其它补充资料；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（10）谈判响应文件、澄清文件及其它补充资料；</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（11）其他构成本合同的文件。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在合同履行过程中形成的与合同有关的文件均构成合同文件组成部分，并根据其性质确定优先解释顺序。</w:t>
      </w:r>
    </w:p>
    <w:p>
      <w:pPr>
        <w:pStyle w:val="35"/>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b w:val="0"/>
          <w:bCs w:val="0"/>
          <w:sz w:val="24"/>
          <w:szCs w:val="24"/>
          <w:highlight w:val="none"/>
        </w:rPr>
      </w:pPr>
      <w:bookmarkStart w:id="76" w:name="_Toc4855"/>
      <w:bookmarkStart w:id="77" w:name="_Toc414154011"/>
      <w:r>
        <w:rPr>
          <w:rFonts w:hint="eastAsia" w:ascii="仿宋_GB2312" w:hAnsi="仿宋_GB2312" w:eastAsia="仿宋_GB2312" w:cs="仿宋_GB2312"/>
          <w:bCs w:val="0"/>
          <w:kern w:val="2"/>
          <w:sz w:val="24"/>
          <w:szCs w:val="24"/>
          <w:highlight w:val="none"/>
          <w:lang w:eastAsia="zh-CN"/>
        </w:rPr>
        <w:t>5</w:t>
      </w:r>
      <w:r>
        <w:rPr>
          <w:rFonts w:hint="eastAsia" w:ascii="仿宋_GB2312" w:hAnsi="仿宋_GB2312" w:eastAsia="仿宋_GB2312" w:cs="仿宋_GB2312"/>
          <w:bCs w:val="0"/>
          <w:kern w:val="2"/>
          <w:sz w:val="24"/>
          <w:szCs w:val="24"/>
          <w:highlight w:val="none"/>
        </w:rPr>
        <w:t>、缺陷责任期和</w:t>
      </w:r>
      <w:r>
        <w:rPr>
          <w:rFonts w:hint="eastAsia" w:ascii="仿宋_GB2312" w:hAnsi="仿宋_GB2312" w:eastAsia="仿宋_GB2312" w:cs="仿宋_GB2312"/>
          <w:bCs w:val="0"/>
          <w:kern w:val="2"/>
          <w:sz w:val="24"/>
          <w:szCs w:val="24"/>
          <w:highlight w:val="none"/>
          <w:lang w:eastAsia="zh-CN"/>
        </w:rPr>
        <w:t>工程</w:t>
      </w:r>
      <w:r>
        <w:rPr>
          <w:rFonts w:hint="eastAsia" w:ascii="仿宋_GB2312" w:hAnsi="仿宋_GB2312" w:eastAsia="仿宋_GB2312" w:cs="仿宋_GB2312"/>
          <w:bCs w:val="0"/>
          <w:kern w:val="2"/>
          <w:sz w:val="24"/>
          <w:szCs w:val="24"/>
          <w:highlight w:val="none"/>
        </w:rPr>
        <w:t>保修</w:t>
      </w:r>
      <w:r>
        <w:rPr>
          <w:rFonts w:hint="eastAsia" w:ascii="仿宋_GB2312" w:hAnsi="仿宋_GB2312" w:eastAsia="仿宋_GB2312" w:cs="仿宋_GB2312"/>
          <w:bCs w:val="0"/>
          <w:kern w:val="2"/>
          <w:sz w:val="24"/>
          <w:szCs w:val="24"/>
          <w:highlight w:val="none"/>
          <w:lang w:eastAsia="zh-CN"/>
        </w:rPr>
        <w:t>期</w:t>
      </w:r>
      <w:bookmarkEnd w:id="76"/>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kern w:val="2"/>
          <w:sz w:val="24"/>
          <w:szCs w:val="24"/>
          <w:highlight w:val="none"/>
          <w:lang w:eastAsia="zh-CN"/>
        </w:rPr>
        <w:t>5.1</w:t>
      </w:r>
      <w:r>
        <w:rPr>
          <w:rFonts w:hint="eastAsia" w:ascii="仿宋_GB2312" w:hAnsi="仿宋_GB2312" w:eastAsia="仿宋_GB2312" w:cs="仿宋_GB2312"/>
          <w:b w:val="0"/>
          <w:bCs w:val="0"/>
          <w:sz w:val="24"/>
          <w:szCs w:val="24"/>
          <w:highlight w:val="none"/>
        </w:rPr>
        <w:t>缺陷责任期</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sz w:val="24"/>
          <w:szCs w:val="24"/>
          <w:highlight w:val="none"/>
          <w:u w:val="single"/>
          <w:lang w:val="en-US" w:eastAsia="zh-CN"/>
        </w:rPr>
        <w:t>与招采文件一致</w:t>
      </w:r>
      <w:r>
        <w:rPr>
          <w:rFonts w:hint="eastAsia" w:ascii="仿宋_GB2312" w:hAnsi="仿宋_GB2312" w:eastAsia="仿宋_GB2312" w:cs="仿宋_GB2312"/>
          <w:b w:val="0"/>
          <w:bCs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5.2</w:t>
      </w:r>
      <w:r>
        <w:rPr>
          <w:rFonts w:hint="eastAsia" w:ascii="仿宋_GB2312" w:hAnsi="仿宋_GB2312" w:eastAsia="仿宋_GB2312" w:cs="仿宋_GB2312"/>
          <w:b w:val="0"/>
          <w:bCs w:val="0"/>
          <w:sz w:val="24"/>
          <w:szCs w:val="24"/>
          <w:highlight w:val="none"/>
        </w:rPr>
        <w:t>工程保修期</w:t>
      </w:r>
      <w:r>
        <w:rPr>
          <w:rFonts w:hint="eastAsia" w:ascii="仿宋_GB2312" w:hAnsi="仿宋_GB2312" w:eastAsia="仿宋_GB2312" w:cs="仿宋_GB2312"/>
          <w:b w:val="0"/>
          <w:bCs w:val="0"/>
          <w:sz w:val="24"/>
          <w:szCs w:val="24"/>
          <w:highlight w:val="none"/>
          <w:lang w:eastAsia="zh-CN"/>
        </w:rPr>
        <w:t>：</w:t>
      </w:r>
      <w:r>
        <w:rPr>
          <w:rFonts w:hint="eastAsia" w:ascii="仿宋_GB2312" w:hAnsi="仿宋_GB2312" w:eastAsia="仿宋_GB2312" w:cs="仿宋_GB2312"/>
          <w:sz w:val="24"/>
          <w:szCs w:val="24"/>
          <w:highlight w:val="none"/>
          <w:u w:val="single"/>
          <w:lang w:val="en-US" w:eastAsia="zh-CN"/>
        </w:rPr>
        <w:t>与招采文件一致</w:t>
      </w:r>
      <w:r>
        <w:rPr>
          <w:rFonts w:hint="eastAsia" w:ascii="仿宋_GB2312" w:hAnsi="仿宋_GB2312" w:eastAsia="仿宋_GB2312" w:cs="仿宋_GB2312"/>
          <w:b w:val="0"/>
          <w:bCs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sz w:val="24"/>
          <w:szCs w:val="24"/>
          <w:highlight w:val="none"/>
          <w:lang w:eastAsia="zh-CN"/>
        </w:rPr>
      </w:pPr>
      <w:r>
        <w:rPr>
          <w:rFonts w:hint="eastAsia" w:ascii="仿宋_GB2312" w:hAnsi="仿宋_GB2312" w:eastAsia="仿宋_GB2312" w:cs="仿宋_GB2312"/>
          <w:b w:val="0"/>
          <w:bCs w:val="0"/>
          <w:sz w:val="24"/>
          <w:szCs w:val="24"/>
          <w:highlight w:val="none"/>
          <w:lang w:eastAsia="zh-CN"/>
        </w:rPr>
        <w:t>5.3在工程移交甲方后，因乙方原因产生的质量缺陷，乙方应承担质量缺陷责任和保修义务。缺陷责任期届满，乙方仍应按合同约定的工程各部位保修年限承担保修义务。</w:t>
      </w:r>
    </w:p>
    <w:bookmarkEnd w:id="77"/>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6.2</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应向</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6.3因</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原因造成工程质量未达到合同约定标准的，</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有权要求</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返工直至工程质量达到合同约定的标准为止，并由</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7.1</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负责采购的材料、工程设备须符合设计和有关标准要求，</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7.2法律规定材料和工程设备使用前必须进行检验或试验的，属于</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自检性质的，</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应单独进行检验和试验；属于</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 xml:space="preserve">8.1 </w:t>
      </w:r>
      <w:r>
        <w:rPr>
          <w:rFonts w:hint="eastAsia" w:ascii="仿宋_GB2312" w:hAnsi="仿宋_GB2312" w:eastAsia="仿宋_GB2312" w:cs="仿宋_GB2312"/>
          <w:sz w:val="24"/>
          <w:szCs w:val="24"/>
          <w:highlight w:val="none"/>
        </w:rPr>
        <w:t>乙方应确保所完成施工的质量，应符合本合同约定的质量标准。乙方施工完毕，应7天内向甲方提交完工报告，通知甲方验收。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 xml:space="preserve">8.2 </w:t>
      </w:r>
      <w:r>
        <w:rPr>
          <w:rFonts w:hint="eastAsia" w:ascii="仿宋_GB2312" w:hAnsi="仿宋_GB2312" w:eastAsia="仿宋_GB2312" w:cs="仿宋_GB2312"/>
          <w:sz w:val="24"/>
          <w:szCs w:val="24"/>
          <w:highlight w:val="none"/>
        </w:rPr>
        <w:t>乙方在工程完毕交付验收前提供相关技术资料（包括但不限于系统原理图、安装图纸、产品使用说明书、维护保养手册、竣工图</w:t>
      </w:r>
      <w:r>
        <w:rPr>
          <w:rFonts w:hint="eastAsia" w:ascii="仿宋_GB2312" w:hAnsi="仿宋_GB2312" w:eastAsia="仿宋_GB2312" w:cs="仿宋_GB2312"/>
          <w:sz w:val="24"/>
          <w:szCs w:val="24"/>
          <w:highlight w:val="none"/>
          <w:lang w:eastAsia="zh-CN"/>
        </w:rPr>
        <w:t>、以甲方实际要求为准</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 xml:space="preserve">8.3 </w:t>
      </w:r>
      <w:r>
        <w:rPr>
          <w:rFonts w:hint="eastAsia" w:ascii="仿宋_GB2312" w:hAnsi="仿宋_GB2312" w:eastAsia="仿宋_GB2312" w:cs="仿宋_GB2312"/>
          <w:sz w:val="24"/>
          <w:szCs w:val="24"/>
          <w:highlight w:val="none"/>
        </w:rPr>
        <w:t>乙方应配合甲方对其</w:t>
      </w:r>
      <w:r>
        <w:rPr>
          <w:rFonts w:hint="eastAsia" w:ascii="仿宋_GB2312" w:hAnsi="仿宋_GB2312" w:eastAsia="仿宋_GB2312" w:cs="仿宋_GB2312"/>
          <w:sz w:val="24"/>
          <w:szCs w:val="24"/>
          <w:highlight w:val="none"/>
          <w:lang w:eastAsia="zh-CN"/>
        </w:rPr>
        <w:t>工程</w:t>
      </w:r>
      <w:r>
        <w:rPr>
          <w:rFonts w:hint="eastAsia" w:ascii="仿宋_GB2312" w:hAnsi="仿宋_GB2312" w:eastAsia="仿宋_GB2312" w:cs="仿宋_GB2312"/>
          <w:sz w:val="24"/>
          <w:szCs w:val="24"/>
          <w:highlight w:val="none"/>
        </w:rPr>
        <w:t>进行竣工验收，</w:t>
      </w:r>
      <w:r>
        <w:rPr>
          <w:rFonts w:hint="eastAsia" w:ascii="仿宋_GB2312" w:hAnsi="仿宋_GB2312" w:eastAsia="仿宋_GB2312" w:cs="仿宋_GB2312"/>
          <w:sz w:val="24"/>
          <w:szCs w:val="24"/>
          <w:highlight w:val="none"/>
          <w:lang w:eastAsia="zh-CN"/>
        </w:rPr>
        <w:t>验收时</w:t>
      </w:r>
      <w:r>
        <w:rPr>
          <w:rFonts w:hint="eastAsia" w:ascii="仿宋_GB2312" w:hAnsi="仿宋_GB2312" w:eastAsia="仿宋_GB2312" w:cs="仿宋_GB2312"/>
          <w:sz w:val="24"/>
          <w:szCs w:val="24"/>
          <w:highlight w:val="none"/>
        </w:rPr>
        <w:t>双方现场签认工程量；因乙方原因导致工程验收不合格的，乙方应缴纳按</w:t>
      </w:r>
      <w:r>
        <w:rPr>
          <w:rFonts w:hint="eastAsia" w:ascii="仿宋_GB2312" w:hAnsi="仿宋_GB2312" w:eastAsia="仿宋_GB2312" w:cs="仿宋_GB2312"/>
          <w:sz w:val="24"/>
          <w:szCs w:val="24"/>
          <w:highlight w:val="none"/>
          <w:lang w:val="en-US" w:eastAsia="zh-CN"/>
        </w:rPr>
        <w:t>签约合同价</w:t>
      </w:r>
      <w:r>
        <w:rPr>
          <w:rFonts w:hint="eastAsia" w:ascii="仿宋_GB2312" w:hAnsi="仿宋_GB2312" w:eastAsia="仿宋_GB2312" w:cs="仿宋_GB2312"/>
          <w:sz w:val="24"/>
          <w:szCs w:val="24"/>
          <w:highlight w:val="none"/>
        </w:rPr>
        <w:t>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sz w:val="24"/>
          <w:szCs w:val="24"/>
          <w:highlight w:val="none"/>
        </w:rPr>
        <w:t>9、</w:t>
      </w:r>
      <w:bookmarkStart w:id="78" w:name="_Toc414154013"/>
      <w:r>
        <w:rPr>
          <w:rFonts w:hint="eastAsia" w:ascii="仿宋_GB2312" w:hAnsi="仿宋_GB2312" w:eastAsia="仿宋_GB2312" w:cs="仿宋_GB2312"/>
          <w:b/>
          <w:sz w:val="24"/>
          <w:szCs w:val="24"/>
          <w:highlight w:val="none"/>
        </w:rPr>
        <w:t>安全生产与文明施工</w:t>
      </w:r>
      <w:bookmarkEnd w:id="7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9.1</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9.2</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应按有关规定，采取严格的安全防护措施搞好安全施工，并承担安全事故的全部责任及由此而发生的一切费用。发生</w:t>
      </w:r>
      <w:r>
        <w:rPr>
          <w:rFonts w:hint="eastAsia" w:ascii="仿宋_GB2312" w:hAnsi="仿宋_GB2312" w:eastAsia="仿宋_GB2312" w:cs="仿宋_GB2312"/>
          <w:sz w:val="24"/>
          <w:szCs w:val="24"/>
          <w:highlight w:val="none"/>
          <w:u w:val="none"/>
          <w:lang w:eastAsia="zh-CN"/>
        </w:rPr>
        <w:t>包括人员伤亡在内的安全</w:t>
      </w:r>
      <w:r>
        <w:rPr>
          <w:rFonts w:hint="eastAsia" w:ascii="仿宋_GB2312" w:hAnsi="仿宋_GB2312" w:eastAsia="仿宋_GB2312" w:cs="仿宋_GB2312"/>
          <w:sz w:val="24"/>
          <w:szCs w:val="24"/>
          <w:highlight w:val="none"/>
          <w:lang w:eastAsia="zh-CN"/>
        </w:rPr>
        <w:t>事故</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应按有关规定立即上报有关部门并书面通知</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，同时按政府有关要求处理，发生的费用由</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全部承担。</w:t>
      </w:r>
    </w:p>
    <w:p>
      <w:pPr>
        <w:pStyle w:val="35"/>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bCs w:val="0"/>
          <w:kern w:val="2"/>
          <w:sz w:val="24"/>
          <w:szCs w:val="24"/>
          <w:highlight w:val="none"/>
        </w:rPr>
      </w:pPr>
      <w:bookmarkStart w:id="79" w:name="_Toc414154014"/>
      <w:bookmarkStart w:id="80" w:name="_Toc1121"/>
      <w:r>
        <w:rPr>
          <w:rFonts w:hint="eastAsia" w:ascii="仿宋_GB2312" w:hAnsi="仿宋_GB2312" w:eastAsia="仿宋_GB2312" w:cs="仿宋_GB2312"/>
          <w:bCs w:val="0"/>
          <w:kern w:val="2"/>
          <w:sz w:val="24"/>
          <w:szCs w:val="24"/>
          <w:highlight w:val="none"/>
          <w:lang w:eastAsia="zh-CN"/>
        </w:rPr>
        <w:t>10</w:t>
      </w:r>
      <w:r>
        <w:rPr>
          <w:rFonts w:hint="eastAsia" w:ascii="仿宋_GB2312" w:hAnsi="仿宋_GB2312" w:eastAsia="仿宋_GB2312" w:cs="仿宋_GB2312"/>
          <w:bCs w:val="0"/>
          <w:kern w:val="2"/>
          <w:sz w:val="24"/>
          <w:szCs w:val="24"/>
          <w:highlight w:val="none"/>
        </w:rPr>
        <w:t>、</w:t>
      </w:r>
      <w:bookmarkEnd w:id="79"/>
      <w:r>
        <w:rPr>
          <w:rFonts w:hint="eastAsia" w:ascii="仿宋_GB2312" w:hAnsi="仿宋_GB2312" w:eastAsia="仿宋_GB2312" w:cs="仿宋_GB2312"/>
          <w:bCs w:val="0"/>
          <w:kern w:val="2"/>
          <w:sz w:val="24"/>
          <w:szCs w:val="24"/>
          <w:highlight w:val="none"/>
        </w:rPr>
        <w:t>变更估价</w:t>
      </w:r>
      <w:r>
        <w:rPr>
          <w:rFonts w:hint="eastAsia" w:ascii="仿宋_GB2312" w:hAnsi="仿宋_GB2312" w:eastAsia="仿宋_GB2312" w:cs="仿宋_GB2312"/>
          <w:bCs w:val="0"/>
          <w:kern w:val="2"/>
          <w:sz w:val="24"/>
          <w:szCs w:val="24"/>
          <w:highlight w:val="none"/>
          <w:lang w:eastAsia="zh-CN"/>
        </w:rPr>
        <w:t>与</w:t>
      </w:r>
      <w:r>
        <w:rPr>
          <w:rFonts w:hint="eastAsia" w:ascii="仿宋_GB2312" w:hAnsi="仿宋_GB2312" w:eastAsia="仿宋_GB2312" w:cs="仿宋_GB2312"/>
          <w:bCs w:val="0"/>
          <w:kern w:val="2"/>
          <w:sz w:val="24"/>
          <w:szCs w:val="24"/>
          <w:highlight w:val="none"/>
        </w:rPr>
        <w:t>材料调差</w:t>
      </w:r>
      <w:bookmarkEnd w:id="8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rPr>
        <w:t>10.1</w:t>
      </w:r>
      <w:r>
        <w:rPr>
          <w:rFonts w:hint="eastAsia" w:ascii="仿宋_GB2312" w:hAnsi="仿宋_GB2312" w:eastAsia="仿宋_GB2312" w:cs="仿宋_GB2312"/>
          <w:sz w:val="24"/>
          <w:szCs w:val="24"/>
          <w:highlight w:val="none"/>
          <w:u w:val="none"/>
        </w:rPr>
        <w:t>变更估价：合同中有相同单价的，采用合同单价；合同中有类似单价的，则参照类似合同单价；合同中无相同或类似单价的，则在变更计价时执行</w:t>
      </w:r>
      <w:r>
        <w:rPr>
          <w:rFonts w:hint="eastAsia" w:ascii="仿宋_GB2312" w:hAnsi="仿宋_GB2312" w:eastAsia="仿宋_GB2312" w:cs="仿宋_GB2312"/>
          <w:sz w:val="24"/>
          <w:szCs w:val="24"/>
          <w:highlight w:val="none"/>
          <w:u w:val="none"/>
          <w:lang w:eastAsia="zh-CN"/>
        </w:rPr>
        <w:t>控制价采用的</w:t>
      </w:r>
      <w:r>
        <w:rPr>
          <w:rFonts w:hint="eastAsia" w:ascii="仿宋_GB2312" w:hAnsi="仿宋_GB2312" w:eastAsia="仿宋_GB2312" w:cs="仿宋_GB2312"/>
          <w:sz w:val="24"/>
          <w:szCs w:val="24"/>
          <w:highlight w:val="none"/>
          <w:u w:val="none"/>
        </w:rPr>
        <w:t>消耗量标准，缺项部分借用其他定额，取费相应执行</w:t>
      </w:r>
      <w:r>
        <w:rPr>
          <w:rFonts w:hint="eastAsia" w:ascii="仿宋_GB2312" w:hAnsi="仿宋_GB2312" w:eastAsia="仿宋_GB2312" w:cs="仿宋_GB2312"/>
          <w:sz w:val="24"/>
          <w:szCs w:val="24"/>
          <w:highlight w:val="none"/>
          <w:u w:val="none"/>
          <w:lang w:eastAsia="zh-CN"/>
        </w:rPr>
        <w:t>控制价采用</w:t>
      </w:r>
      <w:r>
        <w:rPr>
          <w:rFonts w:hint="eastAsia" w:ascii="仿宋_GB2312" w:hAnsi="仿宋_GB2312" w:eastAsia="仿宋_GB2312" w:cs="仿宋_GB2312"/>
          <w:sz w:val="24"/>
          <w:szCs w:val="24"/>
          <w:highlight w:val="none"/>
          <w:u w:val="none"/>
        </w:rPr>
        <w:t xml:space="preserve">的有关规定，并执行合同优惠率 </w:t>
      </w:r>
      <w:r>
        <w:rPr>
          <w:rFonts w:hint="eastAsia" w:ascii="仿宋_GB2312" w:hAnsi="仿宋_GB2312" w:eastAsia="仿宋_GB2312" w:cs="仿宋_GB2312"/>
          <w:sz w:val="24"/>
          <w:szCs w:val="24"/>
          <w:highlight w:val="none"/>
          <w:u w:val="none"/>
          <w:lang w:val="en-US" w:eastAsia="zh-CN"/>
        </w:rPr>
        <w:t>(控制价-中选总价）/控制价×</w:t>
      </w:r>
      <w:r>
        <w:rPr>
          <w:rFonts w:hint="eastAsia" w:ascii="仿宋_GB2312" w:hAnsi="仿宋_GB2312" w:eastAsia="仿宋_GB2312" w:cs="仿宋_GB2312"/>
          <w:sz w:val="24"/>
          <w:szCs w:val="24"/>
          <w:highlight w:val="none"/>
          <w:u w:val="none"/>
        </w:rPr>
        <w:t xml:space="preserve"> </w:t>
      </w:r>
      <w:r>
        <w:rPr>
          <w:rFonts w:hint="eastAsia" w:ascii="仿宋_GB2312" w:hAnsi="仿宋_GB2312" w:eastAsia="仿宋_GB2312" w:cs="仿宋_GB2312"/>
          <w:sz w:val="24"/>
          <w:szCs w:val="24"/>
          <w:highlight w:val="none"/>
          <w:u w:val="none"/>
          <w:lang w:eastAsia="zh-CN"/>
        </w:rPr>
        <w:t>百分之百</w:t>
      </w:r>
      <w:r>
        <w:rPr>
          <w:rFonts w:hint="eastAsia" w:ascii="仿宋_GB2312" w:hAnsi="仿宋_GB2312" w:eastAsia="仿宋_GB2312" w:cs="仿宋_GB2312"/>
          <w:sz w:val="24"/>
          <w:szCs w:val="24"/>
          <w:highlight w:val="none"/>
          <w:u w:val="none"/>
        </w:rPr>
        <w:t>，人工工日单价按</w:t>
      </w:r>
      <w:r>
        <w:rPr>
          <w:rFonts w:hint="eastAsia" w:ascii="仿宋_GB2312" w:hAnsi="仿宋_GB2312" w:eastAsia="仿宋_GB2312" w:cs="仿宋_GB2312"/>
          <w:sz w:val="24"/>
          <w:szCs w:val="24"/>
          <w:highlight w:val="none"/>
          <w:u w:val="none"/>
          <w:lang w:eastAsia="zh-CN"/>
        </w:rPr>
        <w:t>控制价审定时</w:t>
      </w:r>
      <w:r>
        <w:rPr>
          <w:rFonts w:hint="eastAsia" w:ascii="仿宋_GB2312" w:hAnsi="仿宋_GB2312" w:eastAsia="仿宋_GB2312" w:cs="仿宋_GB2312"/>
          <w:sz w:val="24"/>
          <w:szCs w:val="24"/>
          <w:highlight w:val="none"/>
          <w:u w:val="none"/>
        </w:rPr>
        <w:t>的综合人工工资单价计取。</w:t>
      </w:r>
    </w:p>
    <w:p>
      <w:pPr>
        <w:keepNext w:val="0"/>
        <w:keepLines w:val="0"/>
        <w:pageBreakBefore w:val="0"/>
        <w:widowControl w:val="0"/>
        <w:numPr>
          <w:ins w:id="0" w:author="Administrator" w:date=""/>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bookmarkStart w:id="81" w:name="_Toc479247487"/>
      <w:r>
        <w:rPr>
          <w:rFonts w:hint="eastAsia" w:ascii="仿宋_GB2312" w:hAnsi="仿宋_GB2312" w:eastAsia="仿宋_GB2312" w:cs="仿宋_GB2312"/>
          <w:kern w:val="28"/>
          <w:sz w:val="24"/>
          <w:highlight w:val="none"/>
          <w:lang w:val="en-US" w:eastAsia="zh-CN"/>
        </w:rPr>
        <w:t>11.1</w:t>
      </w:r>
      <w:r>
        <w:rPr>
          <w:rFonts w:hint="eastAsia" w:ascii="仿宋_GB2312" w:hAnsi="仿宋_GB2312" w:eastAsia="仿宋_GB2312" w:cs="仿宋_GB2312"/>
          <w:kern w:val="28"/>
          <w:sz w:val="24"/>
          <w:highlight w:val="none"/>
        </w:rPr>
        <w:t>本</w:t>
      </w:r>
      <w:r>
        <w:rPr>
          <w:rFonts w:hint="eastAsia" w:ascii="仿宋_GB2312" w:hAnsi="仿宋_GB2312" w:eastAsia="仿宋_GB2312" w:cs="仿宋_GB2312"/>
          <w:kern w:val="28"/>
          <w:sz w:val="24"/>
          <w:highlight w:val="none"/>
          <w:lang w:eastAsia="zh-CN"/>
        </w:rPr>
        <w:t>工程</w:t>
      </w:r>
      <w:r>
        <w:rPr>
          <w:rFonts w:hint="eastAsia" w:ascii="仿宋_GB2312" w:hAnsi="仿宋_GB2312" w:eastAsia="仿宋_GB2312" w:cs="仿宋_GB2312"/>
          <w:kern w:val="28"/>
          <w:sz w:val="24"/>
          <w:highlight w:val="none"/>
        </w:rPr>
        <w:t>无预付款</w:t>
      </w:r>
      <w:bookmarkEnd w:id="81"/>
      <w:bookmarkStart w:id="82" w:name="_Toc479247488"/>
      <w:r>
        <w:rPr>
          <w:rFonts w:hint="eastAsia" w:ascii="仿宋_GB2312" w:hAnsi="仿宋_GB2312" w:eastAsia="仿宋_GB2312" w:cs="仿宋_GB2312"/>
          <w:kern w:val="28"/>
          <w:sz w:val="24"/>
          <w:highlight w:val="none"/>
          <w:lang w:eastAsia="zh-CN"/>
        </w:rPr>
        <w:t>，在</w:t>
      </w:r>
      <w:r>
        <w:rPr>
          <w:rFonts w:hint="eastAsia" w:ascii="仿宋_GB2312" w:hAnsi="仿宋_GB2312" w:eastAsia="仿宋_GB2312" w:cs="仿宋_GB2312"/>
          <w:kern w:val="28"/>
          <w:sz w:val="24"/>
          <w:highlight w:val="none"/>
        </w:rPr>
        <w:t>工程竣工验收合格移交竣工资料后，支付至</w:t>
      </w:r>
      <w:r>
        <w:rPr>
          <w:rFonts w:hint="eastAsia" w:ascii="仿宋_GB2312" w:hAnsi="仿宋_GB2312" w:eastAsia="仿宋_GB2312" w:cs="仿宋_GB2312"/>
          <w:kern w:val="28"/>
          <w:sz w:val="24"/>
          <w:highlight w:val="none"/>
          <w:lang w:eastAsia="zh-CN"/>
        </w:rPr>
        <w:t>实际竣工计量金额</w:t>
      </w:r>
      <w:r>
        <w:rPr>
          <w:rFonts w:hint="eastAsia" w:ascii="仿宋_GB2312" w:hAnsi="仿宋_GB2312" w:eastAsia="仿宋_GB2312" w:cs="仿宋_GB2312"/>
          <w:kern w:val="28"/>
          <w:sz w:val="24"/>
          <w:highlight w:val="none"/>
        </w:rPr>
        <w:t>的70%</w:t>
      </w:r>
      <w:r>
        <w:rPr>
          <w:rFonts w:hint="eastAsia" w:ascii="仿宋_GB2312" w:hAnsi="仿宋_GB2312" w:eastAsia="仿宋_GB2312" w:cs="仿宋_GB2312"/>
          <w:kern w:val="28"/>
          <w:sz w:val="24"/>
          <w:highlight w:val="none"/>
          <w:lang w:eastAsia="zh-CN"/>
        </w:rPr>
        <w:t>，但支付金额不得超过签约合同价的</w:t>
      </w:r>
      <w:r>
        <w:rPr>
          <w:rFonts w:hint="eastAsia" w:ascii="仿宋_GB2312" w:hAnsi="仿宋_GB2312" w:eastAsia="仿宋_GB2312" w:cs="仿宋_GB2312"/>
          <w:kern w:val="28"/>
          <w:sz w:val="24"/>
          <w:highlight w:val="none"/>
          <w:lang w:val="en-US" w:eastAsia="zh-CN"/>
        </w:rPr>
        <w:t>70%</w:t>
      </w:r>
      <w:r>
        <w:rPr>
          <w:rFonts w:hint="eastAsia" w:ascii="仿宋_GB2312" w:hAnsi="仿宋_GB2312" w:eastAsia="仿宋_GB2312" w:cs="仿宋_GB2312"/>
          <w:kern w:val="28"/>
          <w:sz w:val="24"/>
          <w:highlight w:val="none"/>
        </w:rPr>
        <w:t>；</w:t>
      </w:r>
      <w:bookmarkEnd w:id="82"/>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bookmarkStart w:id="83" w:name="_Toc479247489"/>
      <w:r>
        <w:rPr>
          <w:rFonts w:hint="eastAsia" w:ascii="仿宋_GB2312" w:hAnsi="仿宋_GB2312" w:eastAsia="仿宋_GB2312" w:cs="仿宋_GB2312"/>
          <w:kern w:val="28"/>
          <w:sz w:val="24"/>
          <w:highlight w:val="none"/>
          <w:lang w:val="en-US" w:eastAsia="zh-CN"/>
        </w:rPr>
        <w:t>11.2</w:t>
      </w:r>
      <w:r>
        <w:rPr>
          <w:rFonts w:hint="eastAsia" w:ascii="仿宋_GB2312" w:hAnsi="仿宋_GB2312" w:eastAsia="仿宋_GB2312" w:cs="仿宋_GB2312"/>
          <w:kern w:val="28"/>
          <w:sz w:val="24"/>
          <w:highlight w:val="none"/>
          <w:lang w:eastAsia="zh-CN"/>
        </w:rPr>
        <w:t>工程竣工结算</w:t>
      </w:r>
      <w:r>
        <w:rPr>
          <w:rFonts w:hint="eastAsia" w:ascii="仿宋_GB2312" w:hAnsi="仿宋_GB2312" w:eastAsia="仿宋_GB2312" w:cs="仿宋_GB2312"/>
          <w:kern w:val="28"/>
          <w:sz w:val="24"/>
          <w:highlight w:val="none"/>
          <w:lang w:val="en-US" w:eastAsia="zh-CN"/>
        </w:rPr>
        <w:t>经甲方审定后，支付至合同价格的</w:t>
      </w:r>
      <w:r>
        <w:rPr>
          <w:rFonts w:hint="eastAsia" w:ascii="仿宋_GB2312" w:hAnsi="仿宋_GB2312" w:eastAsia="仿宋_GB2312" w:cs="仿宋_GB2312"/>
          <w:kern w:val="28"/>
          <w:sz w:val="24"/>
          <w:highlight w:val="none"/>
        </w:rPr>
        <w:t>9</w:t>
      </w:r>
      <w:r>
        <w:rPr>
          <w:rFonts w:hint="eastAsia" w:ascii="仿宋_GB2312" w:hAnsi="仿宋_GB2312" w:eastAsia="仿宋_GB2312" w:cs="仿宋_GB2312"/>
          <w:kern w:val="28"/>
          <w:sz w:val="24"/>
          <w:highlight w:val="none"/>
          <w:lang w:val="en-US" w:eastAsia="zh-CN"/>
        </w:rPr>
        <w:t>7</w:t>
      </w:r>
      <w:r>
        <w:rPr>
          <w:rFonts w:hint="eastAsia" w:ascii="仿宋_GB2312" w:hAnsi="仿宋_GB2312" w:eastAsia="仿宋_GB2312" w:cs="仿宋_GB2312"/>
          <w:kern w:val="28"/>
          <w:sz w:val="24"/>
          <w:highlight w:val="none"/>
        </w:rPr>
        <w:t>%（开具</w:t>
      </w:r>
      <w:r>
        <w:rPr>
          <w:rFonts w:hint="eastAsia" w:ascii="仿宋_GB2312" w:hAnsi="仿宋_GB2312" w:eastAsia="仿宋_GB2312" w:cs="仿宋_GB2312"/>
          <w:kern w:val="28"/>
          <w:sz w:val="24"/>
          <w:highlight w:val="none"/>
          <w:lang w:eastAsia="zh-CN"/>
        </w:rPr>
        <w:t>合同价格</w:t>
      </w:r>
      <w:r>
        <w:rPr>
          <w:rFonts w:hint="eastAsia" w:ascii="仿宋_GB2312" w:hAnsi="仿宋_GB2312" w:eastAsia="仿宋_GB2312" w:cs="仿宋_GB2312"/>
          <w:kern w:val="28"/>
          <w:sz w:val="24"/>
          <w:highlight w:val="none"/>
        </w:rPr>
        <w:t>100%、合法有效的增值税专用发票原件）</w:t>
      </w:r>
      <w:r>
        <w:rPr>
          <w:rFonts w:hint="eastAsia" w:ascii="仿宋_GB2312" w:hAnsi="仿宋_GB2312" w:eastAsia="仿宋_GB2312" w:cs="仿宋_GB2312"/>
          <w:kern w:val="28"/>
          <w:sz w:val="24"/>
          <w:highlight w:val="none"/>
          <w:lang w:eastAsia="zh-CN"/>
        </w:rPr>
        <w:t>，</w:t>
      </w:r>
      <w:r>
        <w:rPr>
          <w:rFonts w:hint="eastAsia" w:ascii="仿宋_GB2312" w:hAnsi="仿宋_GB2312" w:eastAsia="仿宋_GB2312" w:cs="仿宋_GB2312"/>
          <w:kern w:val="28"/>
          <w:sz w:val="24"/>
          <w:highlight w:val="none"/>
        </w:rPr>
        <w:t>剩下的</w:t>
      </w:r>
      <w:r>
        <w:rPr>
          <w:rFonts w:hint="eastAsia" w:ascii="仿宋_GB2312" w:hAnsi="仿宋_GB2312" w:eastAsia="仿宋_GB2312" w:cs="仿宋_GB2312"/>
          <w:kern w:val="28"/>
          <w:sz w:val="24"/>
          <w:highlight w:val="none"/>
          <w:lang w:val="en-US" w:eastAsia="zh-CN"/>
        </w:rPr>
        <w:t>3</w:t>
      </w:r>
      <w:r>
        <w:rPr>
          <w:rFonts w:hint="eastAsia" w:ascii="仿宋_GB2312" w:hAnsi="仿宋_GB2312" w:eastAsia="仿宋_GB2312" w:cs="仿宋_GB2312"/>
          <w:kern w:val="28"/>
          <w:sz w:val="24"/>
          <w:highlight w:val="none"/>
        </w:rPr>
        <w:t>%作为工程质量保证金，在已办理结算的前提下，保修期满后如无任何质量问题</w:t>
      </w:r>
      <w:r>
        <w:rPr>
          <w:rFonts w:hint="eastAsia" w:ascii="仿宋_GB2312" w:hAnsi="仿宋_GB2312" w:eastAsia="仿宋_GB2312" w:cs="仿宋_GB2312"/>
          <w:kern w:val="28"/>
          <w:sz w:val="24"/>
          <w:highlight w:val="none"/>
          <w:lang w:eastAsia="zh-CN"/>
        </w:rPr>
        <w:t>甲方</w:t>
      </w:r>
      <w:r>
        <w:rPr>
          <w:rFonts w:hint="eastAsia" w:ascii="仿宋_GB2312" w:hAnsi="仿宋_GB2312" w:eastAsia="仿宋_GB2312" w:cs="仿宋_GB2312"/>
          <w:kern w:val="28"/>
          <w:sz w:val="24"/>
          <w:highlight w:val="none"/>
        </w:rPr>
        <w:t>一次性无息付清；</w:t>
      </w:r>
      <w:bookmarkEnd w:id="8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bookmarkStart w:id="84" w:name="_Toc479247490"/>
      <w:r>
        <w:rPr>
          <w:rFonts w:hint="eastAsia" w:ascii="仿宋_GB2312" w:hAnsi="仿宋_GB2312" w:eastAsia="仿宋_GB2312" w:cs="仿宋_GB2312"/>
          <w:kern w:val="28"/>
          <w:sz w:val="24"/>
          <w:highlight w:val="none"/>
          <w:lang w:val="en-US" w:eastAsia="zh-CN"/>
        </w:rPr>
        <w:t>11.3本合同以人民币结算，并采用银行转账方式支付</w:t>
      </w:r>
      <w:r>
        <w:rPr>
          <w:rFonts w:hint="eastAsia" w:ascii="仿宋_GB2312" w:hAnsi="仿宋_GB2312" w:eastAsia="仿宋_GB2312" w:cs="仿宋_GB2312"/>
          <w:kern w:val="28"/>
          <w:sz w:val="24"/>
          <w:highlight w:val="none"/>
        </w:rPr>
        <w:t>。</w:t>
      </w:r>
      <w:bookmarkEnd w:id="84"/>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bookmarkStart w:id="85" w:name="_Toc479247491"/>
      <w:r>
        <w:rPr>
          <w:rFonts w:hint="eastAsia" w:ascii="仿宋_GB2312" w:hAnsi="仿宋_GB2312" w:eastAsia="仿宋_GB2312" w:cs="仿宋_GB2312"/>
          <w:kern w:val="28"/>
          <w:sz w:val="24"/>
          <w:highlight w:val="none"/>
          <w:lang w:val="en-US" w:eastAsia="zh-CN"/>
        </w:rPr>
        <w:t>11.4</w:t>
      </w:r>
      <w:r>
        <w:rPr>
          <w:rFonts w:hint="eastAsia" w:ascii="仿宋_GB2312" w:hAnsi="仿宋_GB2312" w:eastAsia="仿宋_GB2312" w:cs="仿宋_GB2312"/>
          <w:kern w:val="28"/>
          <w:sz w:val="24"/>
          <w:highlight w:val="none"/>
        </w:rPr>
        <w:t>所有支付均在收到乙方提供的以下资料后支付：</w:t>
      </w:r>
      <w:bookmarkEnd w:id="85"/>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bookmarkStart w:id="86" w:name="_Toc479247492"/>
      <w:r>
        <w:rPr>
          <w:rFonts w:hint="eastAsia" w:ascii="仿宋_GB2312" w:hAnsi="仿宋_GB2312" w:eastAsia="仿宋_GB2312" w:cs="仿宋_GB2312"/>
          <w:kern w:val="28"/>
          <w:sz w:val="24"/>
          <w:highlight w:val="none"/>
          <w:lang w:eastAsia="zh-CN"/>
        </w:rPr>
        <w:t>（</w:t>
      </w:r>
      <w:r>
        <w:rPr>
          <w:rFonts w:hint="eastAsia" w:ascii="仿宋_GB2312" w:hAnsi="仿宋_GB2312" w:eastAsia="仿宋_GB2312" w:cs="仿宋_GB2312"/>
          <w:kern w:val="28"/>
          <w:sz w:val="24"/>
          <w:highlight w:val="none"/>
          <w:lang w:val="en-US" w:eastAsia="zh-CN"/>
        </w:rPr>
        <w:t>1</w:t>
      </w:r>
      <w:r>
        <w:rPr>
          <w:rFonts w:hint="eastAsia" w:ascii="仿宋_GB2312" w:hAnsi="仿宋_GB2312" w:eastAsia="仿宋_GB2312" w:cs="仿宋_GB2312"/>
          <w:kern w:val="28"/>
          <w:sz w:val="24"/>
          <w:highlight w:val="none"/>
          <w:lang w:eastAsia="zh-CN"/>
        </w:rPr>
        <w:t>）</w:t>
      </w:r>
      <w:r>
        <w:rPr>
          <w:rFonts w:hint="eastAsia" w:ascii="仿宋_GB2312" w:hAnsi="仿宋_GB2312" w:eastAsia="仿宋_GB2312" w:cs="仿宋_GB2312"/>
          <w:kern w:val="28"/>
          <w:sz w:val="24"/>
          <w:highlight w:val="none"/>
        </w:rPr>
        <w:t>经甲方审批同意的支付申请和相关资料；</w:t>
      </w:r>
      <w:bookmarkEnd w:id="86"/>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bookmarkStart w:id="87" w:name="_Toc479247493"/>
      <w:r>
        <w:rPr>
          <w:rFonts w:hint="eastAsia" w:ascii="仿宋_GB2312" w:hAnsi="仿宋_GB2312" w:eastAsia="仿宋_GB2312" w:cs="仿宋_GB2312"/>
          <w:kern w:val="28"/>
          <w:sz w:val="24"/>
          <w:highlight w:val="none"/>
          <w:lang w:eastAsia="zh-CN"/>
        </w:rPr>
        <w:t>（</w:t>
      </w:r>
      <w:r>
        <w:rPr>
          <w:rFonts w:hint="eastAsia" w:ascii="仿宋_GB2312" w:hAnsi="仿宋_GB2312" w:eastAsia="仿宋_GB2312" w:cs="仿宋_GB2312"/>
          <w:kern w:val="28"/>
          <w:sz w:val="24"/>
          <w:highlight w:val="none"/>
          <w:lang w:val="en-US" w:eastAsia="zh-CN"/>
        </w:rPr>
        <w:t>2</w:t>
      </w:r>
      <w:r>
        <w:rPr>
          <w:rFonts w:hint="eastAsia" w:ascii="仿宋_GB2312" w:hAnsi="仿宋_GB2312" w:eastAsia="仿宋_GB2312" w:cs="仿宋_GB2312"/>
          <w:kern w:val="28"/>
          <w:sz w:val="24"/>
          <w:highlight w:val="none"/>
          <w:lang w:eastAsia="zh-CN"/>
        </w:rPr>
        <w:t>）</w:t>
      </w:r>
      <w:r>
        <w:rPr>
          <w:rFonts w:hint="eastAsia" w:ascii="仿宋_GB2312" w:hAnsi="仿宋_GB2312" w:eastAsia="仿宋_GB2312" w:cs="仿宋_GB2312"/>
          <w:kern w:val="28"/>
          <w:sz w:val="24"/>
          <w:highlight w:val="none"/>
        </w:rPr>
        <w:t>相应的税务发票原件；</w:t>
      </w:r>
      <w:bookmarkEnd w:id="87"/>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bookmarkStart w:id="88" w:name="_Toc479247494"/>
      <w:r>
        <w:rPr>
          <w:rFonts w:hint="eastAsia" w:ascii="仿宋_GB2312" w:hAnsi="仿宋_GB2312" w:eastAsia="仿宋_GB2312" w:cs="仿宋_GB2312"/>
          <w:kern w:val="28"/>
          <w:sz w:val="24"/>
          <w:highlight w:val="none"/>
          <w:lang w:eastAsia="zh-CN"/>
        </w:rPr>
        <w:t>（</w:t>
      </w:r>
      <w:r>
        <w:rPr>
          <w:rFonts w:hint="eastAsia" w:ascii="仿宋_GB2312" w:hAnsi="仿宋_GB2312" w:eastAsia="仿宋_GB2312" w:cs="仿宋_GB2312"/>
          <w:kern w:val="28"/>
          <w:sz w:val="24"/>
          <w:highlight w:val="none"/>
          <w:lang w:val="en-US" w:eastAsia="zh-CN"/>
        </w:rPr>
        <w:t>3</w:t>
      </w:r>
      <w:r>
        <w:rPr>
          <w:rFonts w:hint="eastAsia" w:ascii="仿宋_GB2312" w:hAnsi="仿宋_GB2312" w:eastAsia="仿宋_GB2312" w:cs="仿宋_GB2312"/>
          <w:kern w:val="28"/>
          <w:sz w:val="24"/>
          <w:highlight w:val="none"/>
          <w:lang w:eastAsia="zh-CN"/>
        </w:rPr>
        <w:t>）</w:t>
      </w:r>
      <w:r>
        <w:rPr>
          <w:rFonts w:hint="eastAsia" w:ascii="仿宋_GB2312" w:hAnsi="仿宋_GB2312" w:eastAsia="仿宋_GB2312" w:cs="仿宋_GB2312"/>
          <w:kern w:val="28"/>
          <w:sz w:val="24"/>
          <w:highlight w:val="none"/>
        </w:rPr>
        <w:t>本合同约定的其他结算资料。</w:t>
      </w:r>
      <w:bookmarkEnd w:id="88"/>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r>
        <w:rPr>
          <w:rFonts w:hint="eastAsia" w:ascii="仿宋_GB2312" w:hAnsi="仿宋_GB2312" w:eastAsia="仿宋_GB2312" w:cs="仿宋_GB2312"/>
          <w:kern w:val="28"/>
          <w:sz w:val="24"/>
          <w:highlight w:val="none"/>
        </w:rPr>
        <w:t>乙方未按约定提供上述材料的，甲方有权不予支付本合同约定价款，且不构成违约。</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highlight w:val="none"/>
        </w:rPr>
      </w:pPr>
      <w:r>
        <w:rPr>
          <w:rFonts w:hint="eastAsia" w:ascii="仿宋_GB2312" w:hAnsi="仿宋_GB2312" w:eastAsia="仿宋_GB2312" w:cs="仿宋_GB2312"/>
          <w:kern w:val="28"/>
          <w:sz w:val="24"/>
          <w:highlight w:val="none"/>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pStyle w:val="35"/>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sz w:val="24"/>
          <w:szCs w:val="24"/>
          <w:highlight w:val="none"/>
        </w:rPr>
      </w:pPr>
      <w:bookmarkStart w:id="89" w:name="_Toc414154016"/>
      <w:bookmarkStart w:id="90" w:name="_Toc19772"/>
      <w:r>
        <w:rPr>
          <w:rFonts w:hint="eastAsia" w:ascii="仿宋_GB2312" w:hAnsi="仿宋_GB2312" w:eastAsia="仿宋_GB2312" w:cs="仿宋_GB2312"/>
          <w:bCs w:val="0"/>
          <w:kern w:val="2"/>
          <w:sz w:val="24"/>
          <w:szCs w:val="24"/>
          <w:highlight w:val="none"/>
          <w:lang w:eastAsia="zh-CN"/>
        </w:rPr>
        <w:t>12</w:t>
      </w:r>
      <w:r>
        <w:rPr>
          <w:rFonts w:hint="eastAsia" w:ascii="仿宋_GB2312" w:hAnsi="仿宋_GB2312" w:eastAsia="仿宋_GB2312" w:cs="仿宋_GB2312"/>
          <w:bCs w:val="0"/>
          <w:kern w:val="2"/>
          <w:sz w:val="24"/>
          <w:szCs w:val="24"/>
          <w:highlight w:val="none"/>
        </w:rPr>
        <w:t>、违约</w:t>
      </w:r>
      <w:bookmarkEnd w:id="89"/>
      <w:r>
        <w:rPr>
          <w:rFonts w:hint="eastAsia" w:ascii="仿宋_GB2312" w:hAnsi="仿宋_GB2312" w:eastAsia="仿宋_GB2312" w:cs="仿宋_GB2312"/>
          <w:bCs w:val="0"/>
          <w:kern w:val="2"/>
          <w:sz w:val="24"/>
          <w:szCs w:val="24"/>
          <w:highlight w:val="none"/>
        </w:rPr>
        <w:t>责任</w:t>
      </w:r>
      <w:bookmarkEnd w:id="90"/>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s="仿宋_GB2312"/>
          <w:sz w:val="24"/>
          <w:szCs w:val="24"/>
          <w:highlight w:val="none"/>
        </w:rPr>
        <w:t>12.1</w:t>
      </w:r>
      <w:r>
        <w:rPr>
          <w:rFonts w:hint="eastAsia" w:ascii="仿宋_GB2312" w:hAnsi="仿宋_GB2312" w:eastAsia="仿宋_GB2312"/>
          <w:color w:val="auto"/>
          <w:sz w:val="24"/>
          <w:highlight w:val="none"/>
          <w:lang w:eastAsia="zh-CN"/>
        </w:rPr>
        <w:t>乙方</w:t>
      </w:r>
      <w:r>
        <w:rPr>
          <w:rFonts w:hint="eastAsia" w:ascii="仿宋_GB2312" w:hAnsi="仿宋_GB2312" w:eastAsia="仿宋_GB2312"/>
          <w:strike w:val="0"/>
          <w:dstrike w:val="0"/>
          <w:color w:val="auto"/>
          <w:sz w:val="24"/>
          <w:highlight w:val="none"/>
        </w:rPr>
        <w:t>因自身</w:t>
      </w:r>
      <w:r>
        <w:rPr>
          <w:rFonts w:hint="eastAsia" w:ascii="仿宋_GB2312" w:hAnsi="仿宋_GB2312" w:eastAsia="仿宋_GB2312" w:cs="仿宋_GB2312"/>
          <w:kern w:val="28"/>
          <w:sz w:val="24"/>
          <w:highlight w:val="none"/>
          <w:lang w:val="en-US" w:eastAsia="zh-CN"/>
        </w:rPr>
        <w:t>原因</w:t>
      </w:r>
      <w:r>
        <w:rPr>
          <w:rFonts w:hint="eastAsia" w:ascii="仿宋_GB2312" w:hAnsi="仿宋_GB2312" w:eastAsia="仿宋_GB2312"/>
          <w:color w:val="auto"/>
          <w:sz w:val="24"/>
          <w:highlight w:val="none"/>
        </w:rPr>
        <w:t>未能按合同要求完成工程施工的，每延误一天应向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12.2</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违反合同约定采购和使用不合格的材料和工程设备，每查实一次应按2000元/次向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交纳违约金，并负责更换合格的材料和工程设备直至</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满意为止，由此产生的相关费</w:t>
      </w:r>
      <w:r>
        <w:rPr>
          <w:rFonts w:hint="eastAsia" w:ascii="仿宋_GB2312" w:hAnsi="仿宋_GB2312" w:eastAsia="仿宋_GB2312"/>
          <w:color w:val="auto"/>
          <w:sz w:val="24"/>
          <w:highlight w:val="none"/>
          <w:u w:val="none"/>
        </w:rPr>
        <w:t>用</w:t>
      </w:r>
      <w:r>
        <w:rPr>
          <w:rFonts w:hint="eastAsia" w:ascii="仿宋_GB2312" w:hAnsi="仿宋_GB2312" w:eastAsia="仿宋_GB2312"/>
          <w:color w:val="auto"/>
          <w:sz w:val="24"/>
          <w:highlight w:val="none"/>
          <w:u w:val="none"/>
          <w:lang w:eastAsia="zh-CN"/>
        </w:rPr>
        <w:t>和造成的工程延误责任</w:t>
      </w:r>
      <w:r>
        <w:rPr>
          <w:rFonts w:hint="eastAsia" w:ascii="仿宋_GB2312" w:hAnsi="仿宋_GB2312" w:eastAsia="仿宋_GB2312"/>
          <w:color w:val="auto"/>
          <w:sz w:val="24"/>
          <w:highlight w:val="none"/>
          <w:u w:val="none"/>
        </w:rPr>
        <w:t>由</w:t>
      </w:r>
      <w:r>
        <w:rPr>
          <w:rFonts w:hint="eastAsia" w:ascii="仿宋_GB2312" w:hAnsi="仿宋_GB2312" w:eastAsia="仿宋_GB2312"/>
          <w:color w:val="auto"/>
          <w:sz w:val="24"/>
          <w:highlight w:val="none"/>
          <w:u w:val="none"/>
          <w:lang w:eastAsia="zh-CN"/>
        </w:rPr>
        <w:t>乙方</w:t>
      </w:r>
      <w:r>
        <w:rPr>
          <w:rFonts w:hint="eastAsia" w:ascii="仿宋_GB2312" w:hAnsi="仿宋_GB2312" w:eastAsia="仿宋_GB2312"/>
          <w:color w:val="auto"/>
          <w:sz w:val="24"/>
          <w:highlight w:val="none"/>
          <w:u w:val="none"/>
        </w:rPr>
        <w:t>承</w:t>
      </w:r>
      <w:r>
        <w:rPr>
          <w:rFonts w:hint="eastAsia" w:ascii="仿宋_GB2312" w:hAnsi="仿宋_GB2312" w:eastAsia="仿宋_GB2312"/>
          <w:color w:val="auto"/>
          <w:sz w:val="24"/>
          <w:highlight w:val="none"/>
        </w:rPr>
        <w:t>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12.3</w:t>
      </w:r>
      <w:r>
        <w:rPr>
          <w:rFonts w:hint="eastAsia" w:ascii="仿宋_GB2312" w:hAnsi="仿宋_GB2312" w:eastAsia="仿宋_GB2312"/>
          <w:color w:val="auto"/>
          <w:sz w:val="24"/>
          <w:highlight w:val="none"/>
        </w:rPr>
        <w:t>在施工过程中，</w:t>
      </w:r>
      <w:r>
        <w:rPr>
          <w:rFonts w:hint="eastAsia" w:ascii="仿宋_GB2312" w:hAnsi="仿宋_GB2312" w:eastAsia="仿宋_GB2312" w:cs="仿宋_GB2312"/>
          <w:kern w:val="28"/>
          <w:sz w:val="24"/>
          <w:highlight w:val="none"/>
          <w:lang w:val="en-US" w:eastAsia="zh-CN"/>
        </w:rPr>
        <w:t>乙方</w:t>
      </w:r>
      <w:r>
        <w:rPr>
          <w:rFonts w:hint="eastAsia" w:ascii="仿宋_GB2312" w:hAnsi="仿宋_GB2312" w:eastAsia="仿宋_GB2312"/>
          <w:color w:val="auto"/>
          <w:sz w:val="24"/>
          <w:highlight w:val="none"/>
        </w:rPr>
        <w:t>存在质量安全隐患及不文明行为情况，且未根据相关部门要求及时整改的，</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交纳2000元/次·处的违约金，</w:t>
      </w:r>
      <w:r>
        <w:rPr>
          <w:rFonts w:hint="eastAsia" w:ascii="仿宋_GB2312" w:hAnsi="仿宋_GB2312" w:eastAsia="仿宋_GB2312"/>
          <w:color w:val="auto"/>
          <w:sz w:val="24"/>
          <w:highlight w:val="none"/>
          <w:lang w:eastAsia="zh-CN"/>
        </w:rPr>
        <w:t>且甲方有权对乙方予以</w:t>
      </w:r>
      <w:r>
        <w:rPr>
          <w:rFonts w:hint="eastAsia" w:ascii="仿宋_GB2312" w:hAnsi="仿宋_GB2312" w:eastAsia="仿宋_GB2312"/>
          <w:color w:val="auto"/>
          <w:sz w:val="24"/>
          <w:highlight w:val="none"/>
        </w:rPr>
        <w:t>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12.4乙方</w:t>
      </w:r>
      <w:r>
        <w:rPr>
          <w:rFonts w:hint="eastAsia" w:ascii="仿宋_GB2312" w:hAnsi="仿宋_GB2312" w:eastAsia="仿宋_GB2312"/>
          <w:color w:val="auto"/>
          <w:sz w:val="24"/>
          <w:highlight w:val="none"/>
        </w:rPr>
        <w:t>在施工过程中，发生一般等级及以上质量安全责任事故的，按照国家相关规定调查处理，由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承担相应的责任和损失，</w:t>
      </w:r>
      <w:r>
        <w:rPr>
          <w:rFonts w:hint="eastAsia" w:ascii="仿宋_GB2312" w:hAnsi="仿宋_GB2312" w:eastAsia="仿宋_GB2312"/>
          <w:color w:val="auto"/>
          <w:sz w:val="24"/>
          <w:highlight w:val="none"/>
          <w:lang w:eastAsia="zh-CN"/>
        </w:rPr>
        <w:t>乙方</w:t>
      </w:r>
      <w:r>
        <w:rPr>
          <w:rFonts w:hint="eastAsia" w:ascii="仿宋_GB2312" w:hAnsi="仿宋_GB2312" w:eastAsia="仿宋_GB2312"/>
          <w:color w:val="auto"/>
          <w:sz w:val="24"/>
          <w:highlight w:val="none"/>
        </w:rPr>
        <w:t>应向</w:t>
      </w:r>
      <w:r>
        <w:rPr>
          <w:rFonts w:hint="eastAsia" w:ascii="仿宋_GB2312" w:hAnsi="仿宋_GB2312" w:eastAsia="仿宋_GB2312"/>
          <w:color w:val="auto"/>
          <w:sz w:val="24"/>
          <w:highlight w:val="none"/>
          <w:lang w:eastAsia="zh-CN"/>
        </w:rPr>
        <w:t>甲方</w:t>
      </w:r>
      <w:r>
        <w:rPr>
          <w:rFonts w:hint="eastAsia" w:ascii="仿宋_GB2312" w:hAnsi="仿宋_GB2312" w:eastAsia="仿宋_GB2312"/>
          <w:color w:val="auto"/>
          <w:sz w:val="24"/>
          <w:highlight w:val="none"/>
        </w:rPr>
        <w:t>交纳1万元</w:t>
      </w:r>
      <w:r>
        <w:rPr>
          <w:rFonts w:hint="eastAsia" w:ascii="仿宋_GB2312" w:hAnsi="仿宋_GB2312" w:eastAsia="仿宋_GB2312"/>
          <w:color w:val="auto"/>
          <w:sz w:val="24"/>
          <w:highlight w:val="none"/>
          <w:lang w:val="en-US" w:eastAsia="zh-CN"/>
        </w:rPr>
        <w:t>/次</w:t>
      </w:r>
      <w:r>
        <w:rPr>
          <w:rFonts w:hint="eastAsia" w:ascii="仿宋_GB2312" w:hAnsi="仿宋_GB2312" w:eastAsia="仿宋_GB2312"/>
          <w:color w:val="auto"/>
          <w:sz w:val="24"/>
          <w:highlight w:val="none"/>
        </w:rPr>
        <w:t>的违约金。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u w:val="none"/>
          <w:lang w:val="en-US" w:eastAsia="zh-CN"/>
        </w:rPr>
        <w:t>12.5人员管理不到位的违约责任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u w:val="none"/>
          <w:lang w:val="en-US" w:eastAsia="zh-CN"/>
        </w:rPr>
      </w:pPr>
      <w:r>
        <w:rPr>
          <w:rFonts w:hint="eastAsia" w:ascii="仿宋_GB2312" w:hAnsi="仿宋_GB2312" w:eastAsia="仿宋_GB2312" w:cs="仿宋_GB2312"/>
          <w:sz w:val="24"/>
          <w:szCs w:val="24"/>
          <w:highlight w:val="none"/>
          <w:u w:val="none"/>
          <w:lang w:val="en-US" w:eastAsia="zh-CN"/>
        </w:rPr>
        <w:t>（1）合同履行期间，乙方确需更换项目负责人的，乙方应按甲方相关规定办理变更手续，且只能更换一次；经报甲方审批同意更换项目负责人的，乙方须支付10000元违约金。未经甲方审批同意，乙方擅自变更项目负责人的，乙方须支付20000元违约金。</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eastAsia="宋体"/>
          <w:highlight w:val="none"/>
          <w:lang w:val="en-US" w:eastAsia="zh-CN"/>
        </w:rPr>
      </w:pPr>
      <w:r>
        <w:rPr>
          <w:rFonts w:hint="eastAsia" w:ascii="仿宋_GB2312" w:hAnsi="仿宋_GB2312" w:eastAsia="仿宋_GB2312" w:cs="仿宋_GB2312"/>
          <w:sz w:val="24"/>
          <w:szCs w:val="24"/>
          <w:highlight w:val="none"/>
          <w:u w:val="none"/>
          <w:lang w:val="en-US" w:eastAsia="zh-CN"/>
        </w:rPr>
        <w:t>（2）合同履行期间，乙方确需更换项目其他人员的，乙方应按甲方相关规定办理变更手续；经报甲方审批同意更换项目其他人员的，乙方须支付2000元/人的违约金。未经甲方审批同意，乙方擅自变更项目其他人员的，乙方须支付4000元/人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13、</w:t>
      </w:r>
      <w:r>
        <w:rPr>
          <w:rFonts w:hint="eastAsia" w:ascii="仿宋_GB2312" w:hAnsi="仿宋_GB2312" w:eastAsia="仿宋_GB2312" w:cs="仿宋_GB2312"/>
          <w:b/>
          <w:bCs/>
          <w:sz w:val="24"/>
          <w:szCs w:val="24"/>
          <w:highlight w:val="none"/>
          <w:lang w:eastAsia="zh-CN"/>
        </w:rPr>
        <w:t>甲方</w:t>
      </w:r>
      <w:r>
        <w:rPr>
          <w:rFonts w:hint="eastAsia" w:ascii="仿宋_GB2312" w:hAnsi="仿宋_GB2312" w:eastAsia="仿宋_GB2312" w:cs="仿宋_GB2312"/>
          <w:b/>
          <w:bCs/>
          <w:sz w:val="24"/>
          <w:szCs w:val="24"/>
          <w:highlight w:val="none"/>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13.1</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应遵守法律，并办理法律规定由</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办理的许可、批准或备案，并协助</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办理法律规定的应由</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应书面通知</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其派驻施工现场的</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代表的姓名、职务、联系方式及授权范围等事项。</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代表在</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的授权范围内，负责处理合同履行过程中与</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应最迟于开工日期 7 天前向</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移交施工现场。</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应在移交施工现场前向</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应按合同约定向</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为保证工程质量、安全、进度和为规范市场行为、资金支付等下发的工程管理规定作为本合同的组成部分，</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承诺在合同履约期间严格遵守；否则，</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有权采取经济措施、勒令撤换人员、调整工程内容等以确保相关要求的落实。因</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不遵照</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下发的工程管理规定给</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造成的损失，由</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13.</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rPr>
        <w:t>合同履约过程中，</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出现以下违约行为的，</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14、</w:t>
      </w:r>
      <w:r>
        <w:rPr>
          <w:rFonts w:hint="eastAsia" w:ascii="仿宋_GB2312" w:hAnsi="仿宋_GB2312" w:eastAsia="仿宋_GB2312" w:cs="仿宋_GB2312"/>
          <w:b/>
          <w:bCs/>
          <w:sz w:val="24"/>
          <w:szCs w:val="24"/>
          <w:highlight w:val="none"/>
          <w:lang w:eastAsia="zh-CN"/>
        </w:rPr>
        <w:t>乙方</w:t>
      </w:r>
      <w:r>
        <w:rPr>
          <w:rFonts w:hint="eastAsia" w:ascii="仿宋_GB2312" w:hAnsi="仿宋_GB2312" w:eastAsia="仿宋_GB2312" w:cs="仿宋_GB2312"/>
          <w:b/>
          <w:bCs/>
          <w:sz w:val="24"/>
          <w:szCs w:val="24"/>
          <w:highlight w:val="none"/>
        </w:rPr>
        <w:t>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14.1</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14.2</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应办理法律规定由</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办理的许可和批准，并将办理结果书面报送</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14.3</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14.4</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应将</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14.5</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在进行合同约定的各项工作时，不得侵害</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与他人使用公用道路、水源、市政管网等公共设施的权利，避免对邻近的公共设施产生干扰。</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14.6</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应按照法律规定和合同约定编制竣工资料，完成竣工资料立卷及归档，并向</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提交用于存档的不少于</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14.7</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应自行解决施工所需的通讯、场内道路以及施工、办公、生活所需的临时房屋、办公设备、施工设备等设施、设备，相关费用已含在签约合同价中。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14.8</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应当预计到施工期间对外界可能产生的必需的不可能避免的干扰，应当积极主动与外界进行协调。</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有责任维护</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在市民中的企业形象，若因工程原因发生骚乱等对</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有影响的重大事件，</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要负全责，造成</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被第三方索赔，</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保留向</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14.9</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指派</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14.10因政策变化、不可抗力及合同当事人之外的原因导致合同暂停，</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sz w:val="24"/>
          <w:szCs w:val="24"/>
          <w:highlight w:val="none"/>
        </w:rPr>
        <w:t>1</w:t>
      </w:r>
      <w:r>
        <w:rPr>
          <w:rFonts w:hint="eastAsia" w:ascii="仿宋_GB2312" w:hAnsi="仿宋_GB2312" w:eastAsia="仿宋_GB2312" w:cs="仿宋_GB2312"/>
          <w:b/>
          <w:sz w:val="24"/>
          <w:szCs w:val="24"/>
          <w:highlight w:val="none"/>
          <w:lang w:val="en-US" w:eastAsia="zh-CN"/>
        </w:rPr>
        <w:t>5</w:t>
      </w:r>
      <w:r>
        <w:rPr>
          <w:rFonts w:hint="eastAsia" w:ascii="仿宋_GB2312" w:hAnsi="仿宋_GB2312" w:eastAsia="仿宋_GB2312" w:cs="仿宋_GB2312"/>
          <w:b/>
          <w:sz w:val="24"/>
          <w:szCs w:val="24"/>
          <w:highlight w:val="none"/>
        </w:rPr>
        <w:t>、其他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因合同及合同有关事项产生的争议，合同当事人可以向有</w:t>
      </w:r>
      <w:r>
        <w:rPr>
          <w:rFonts w:hint="eastAsia" w:ascii="仿宋_GB2312" w:hAnsi="仿宋_GB2312" w:eastAsia="仿宋_GB2312" w:cs="仿宋_GB2312"/>
          <w:color w:val="auto"/>
          <w:sz w:val="24"/>
          <w:szCs w:val="24"/>
          <w:highlight w:val="none"/>
          <w:u w:val="single"/>
        </w:rPr>
        <w:t>本合同签订地</w:t>
      </w:r>
      <w:r>
        <w:rPr>
          <w:rFonts w:hint="eastAsia" w:ascii="仿宋_GB2312" w:hAnsi="仿宋_GB2312" w:eastAsia="仿宋_GB2312" w:cs="仿宋_GB2312"/>
          <w:color w:val="auto"/>
          <w:sz w:val="24"/>
          <w:szCs w:val="24"/>
          <w:highlight w:val="none"/>
          <w:u w:val="single"/>
          <w:lang w:eastAsia="zh-CN"/>
        </w:rPr>
        <w:t>（长沙市雨花区）</w:t>
      </w:r>
      <w:r>
        <w:rPr>
          <w:rFonts w:hint="eastAsia" w:ascii="仿宋_GB2312" w:hAnsi="仿宋_GB2312" w:eastAsia="仿宋_GB2312" w:cs="仿宋_GB2312"/>
          <w:color w:val="auto"/>
          <w:sz w:val="24"/>
          <w:szCs w:val="24"/>
          <w:highlight w:val="none"/>
          <w:u w:val="single"/>
        </w:rPr>
        <w:t>的人民法院</w:t>
      </w:r>
      <w:r>
        <w:rPr>
          <w:rFonts w:hint="eastAsia" w:ascii="仿宋_GB2312" w:hAnsi="仿宋_GB2312" w:eastAsia="仿宋_GB2312" w:cs="仿宋_GB2312"/>
          <w:color w:val="auto"/>
          <w:sz w:val="24"/>
          <w:szCs w:val="24"/>
          <w:highlight w:val="none"/>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本合同自</w:t>
      </w:r>
      <w:r>
        <w:rPr>
          <w:rFonts w:hint="eastAsia" w:ascii="仿宋_GB2312" w:hAnsi="仿宋_GB2312" w:eastAsia="仿宋_GB2312" w:cs="仿宋_GB2312"/>
          <w:sz w:val="24"/>
          <w:szCs w:val="24"/>
          <w:highlight w:val="none"/>
          <w:u w:val="none"/>
        </w:rPr>
        <w:t xml:space="preserve"> 双方法定代表人或授权</w:t>
      </w:r>
      <w:r>
        <w:rPr>
          <w:rFonts w:hint="eastAsia" w:ascii="仿宋_GB2312" w:hAnsi="仿宋_GB2312" w:eastAsia="仿宋_GB2312" w:cs="仿宋_GB2312"/>
          <w:sz w:val="24"/>
          <w:szCs w:val="24"/>
          <w:highlight w:val="none"/>
          <w:u w:val="none"/>
          <w:lang w:eastAsia="zh-CN"/>
        </w:rPr>
        <w:t>代表</w:t>
      </w:r>
      <w:r>
        <w:rPr>
          <w:rFonts w:hint="eastAsia" w:ascii="仿宋_GB2312" w:hAnsi="仿宋_GB2312" w:eastAsia="仿宋_GB2312" w:cs="仿宋_GB2312"/>
          <w:sz w:val="24"/>
          <w:szCs w:val="24"/>
          <w:highlight w:val="none"/>
          <w:u w:val="none"/>
        </w:rPr>
        <w:t>签字，加盖</w:t>
      </w:r>
      <w:r>
        <w:rPr>
          <w:rFonts w:hint="eastAsia" w:ascii="仿宋_GB2312" w:hAnsi="仿宋_GB2312" w:eastAsia="仿宋_GB2312" w:cs="仿宋_GB2312"/>
          <w:sz w:val="24"/>
          <w:szCs w:val="24"/>
          <w:highlight w:val="none"/>
          <w:u w:val="none"/>
          <w:lang w:eastAsia="zh-CN"/>
        </w:rPr>
        <w:t>公章或</w:t>
      </w:r>
      <w:r>
        <w:rPr>
          <w:rFonts w:hint="eastAsia" w:ascii="仿宋_GB2312" w:hAnsi="仿宋_GB2312" w:eastAsia="仿宋_GB2312" w:cs="仿宋_GB2312"/>
          <w:sz w:val="24"/>
          <w:szCs w:val="24"/>
          <w:highlight w:val="none"/>
          <w:u w:val="none"/>
        </w:rPr>
        <w:t>合同专用章后</w:t>
      </w:r>
      <w:r>
        <w:rPr>
          <w:rFonts w:hint="eastAsia" w:ascii="仿宋_GB2312" w:hAnsi="仿宋_GB2312" w:eastAsia="仿宋_GB2312" w:cs="仿宋_GB2312"/>
          <w:sz w:val="24"/>
          <w:szCs w:val="24"/>
          <w:highlight w:val="none"/>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15.4</w:t>
      </w:r>
      <w:r>
        <w:rPr>
          <w:rFonts w:hint="eastAsia" w:ascii="仿宋_GB2312" w:hAnsi="仿宋_GB2312" w:eastAsia="仿宋_GB2312" w:cs="仿宋_GB2312"/>
          <w:sz w:val="24"/>
          <w:szCs w:val="24"/>
          <w:highlight w:val="none"/>
        </w:rPr>
        <w:t>合同签订时间</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日签订。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15.5合同签订地点</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本合同在</w:t>
      </w:r>
      <w:r>
        <w:rPr>
          <w:rFonts w:hint="eastAsia" w:ascii="仿宋_GB2312" w:hAnsi="仿宋_GB2312" w:eastAsia="仿宋_GB2312" w:cs="仿宋_GB2312"/>
          <w:sz w:val="24"/>
          <w:szCs w:val="24"/>
          <w:highlight w:val="none"/>
          <w:u w:val="single"/>
          <w:lang w:val="en-US" w:eastAsia="zh-CN"/>
        </w:rPr>
        <w:t xml:space="preserve"> 湖南省长沙市雨花区 </w:t>
      </w:r>
      <w:r>
        <w:rPr>
          <w:rFonts w:hint="eastAsia" w:ascii="仿宋_GB2312" w:hAnsi="仿宋_GB2312" w:eastAsia="仿宋_GB2312" w:cs="仿宋_GB2312"/>
          <w:sz w:val="24"/>
          <w:szCs w:val="24"/>
          <w:highlight w:val="none"/>
          <w:lang w:val="en-US" w:eastAsia="zh-CN"/>
        </w:rPr>
        <w:t>签订。</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6</w:t>
      </w:r>
      <w:r>
        <w:rPr>
          <w:rFonts w:hint="eastAsia" w:ascii="仿宋_GB2312" w:hAnsi="仿宋_GB2312" w:eastAsia="仿宋_GB2312" w:cs="仿宋_GB2312"/>
          <w:sz w:val="24"/>
          <w:szCs w:val="24"/>
          <w:highlight w:val="none"/>
          <w:u w:val="none"/>
        </w:rPr>
        <w:t>本合同一式</w:t>
      </w:r>
      <w:r>
        <w:rPr>
          <w:rFonts w:hint="eastAsia" w:ascii="仿宋_GB2312" w:hAnsi="仿宋_GB2312" w:eastAsia="仿宋_GB2312" w:cs="仿宋_GB2312"/>
          <w:sz w:val="24"/>
          <w:szCs w:val="24"/>
          <w:highlight w:val="none"/>
          <w:u w:val="none"/>
          <w:lang w:eastAsia="zh-CN"/>
        </w:rPr>
        <w:t>八</w:t>
      </w:r>
      <w:r>
        <w:rPr>
          <w:rFonts w:hint="eastAsia" w:ascii="仿宋_GB2312" w:hAnsi="仿宋_GB2312" w:eastAsia="仿宋_GB2312" w:cs="仿宋_GB2312"/>
          <w:sz w:val="24"/>
          <w:szCs w:val="24"/>
          <w:highlight w:val="none"/>
          <w:u w:val="none"/>
        </w:rPr>
        <w:t>份（二正</w:t>
      </w:r>
      <w:r>
        <w:rPr>
          <w:rFonts w:hint="eastAsia" w:ascii="仿宋_GB2312" w:hAnsi="仿宋_GB2312" w:eastAsia="仿宋_GB2312" w:cs="仿宋_GB2312"/>
          <w:sz w:val="24"/>
          <w:szCs w:val="24"/>
          <w:highlight w:val="none"/>
          <w:u w:val="none"/>
          <w:lang w:eastAsia="zh-CN"/>
        </w:rPr>
        <w:t>六</w:t>
      </w:r>
      <w:r>
        <w:rPr>
          <w:rFonts w:hint="eastAsia" w:ascii="仿宋_GB2312" w:hAnsi="仿宋_GB2312" w:eastAsia="仿宋_GB2312" w:cs="仿宋_GB2312"/>
          <w:sz w:val="24"/>
          <w:szCs w:val="24"/>
          <w:highlight w:val="none"/>
          <w:u w:val="none"/>
        </w:rPr>
        <w:t>副），</w:t>
      </w:r>
      <w:r>
        <w:rPr>
          <w:rFonts w:hint="eastAsia" w:ascii="仿宋_GB2312" w:hAnsi="仿宋_GB2312" w:eastAsia="仿宋_GB2312" w:cs="仿宋_GB2312"/>
          <w:sz w:val="24"/>
          <w:szCs w:val="24"/>
          <w:highlight w:val="none"/>
          <w:u w:val="none"/>
          <w:lang w:eastAsia="zh-CN"/>
        </w:rPr>
        <w:t>甲方</w:t>
      </w:r>
      <w:r>
        <w:rPr>
          <w:rFonts w:hint="eastAsia" w:ascii="仿宋_GB2312" w:hAnsi="仿宋_GB2312" w:eastAsia="仿宋_GB2312" w:cs="仿宋_GB2312"/>
          <w:sz w:val="24"/>
          <w:szCs w:val="24"/>
          <w:highlight w:val="none"/>
          <w:u w:val="none"/>
        </w:rPr>
        <w:t>执</w:t>
      </w:r>
      <w:r>
        <w:rPr>
          <w:rFonts w:hint="eastAsia" w:ascii="仿宋_GB2312" w:hAnsi="仿宋_GB2312" w:eastAsia="仿宋_GB2312" w:cs="仿宋_GB2312"/>
          <w:sz w:val="24"/>
          <w:szCs w:val="24"/>
          <w:highlight w:val="none"/>
          <w:u w:val="none"/>
          <w:lang w:eastAsia="zh-CN"/>
        </w:rPr>
        <w:t>六</w:t>
      </w:r>
      <w:r>
        <w:rPr>
          <w:rFonts w:hint="eastAsia" w:ascii="仿宋_GB2312" w:hAnsi="仿宋_GB2312" w:eastAsia="仿宋_GB2312" w:cs="仿宋_GB2312"/>
          <w:sz w:val="24"/>
          <w:szCs w:val="24"/>
          <w:highlight w:val="none"/>
          <w:u w:val="none"/>
        </w:rPr>
        <w:t>份（一正</w:t>
      </w:r>
      <w:r>
        <w:rPr>
          <w:rFonts w:hint="eastAsia" w:ascii="仿宋_GB2312" w:hAnsi="仿宋_GB2312" w:eastAsia="仿宋_GB2312" w:cs="仿宋_GB2312"/>
          <w:sz w:val="24"/>
          <w:szCs w:val="24"/>
          <w:highlight w:val="none"/>
          <w:u w:val="none"/>
          <w:lang w:eastAsia="zh-CN"/>
        </w:rPr>
        <w:t>五</w:t>
      </w:r>
      <w:r>
        <w:rPr>
          <w:rFonts w:hint="eastAsia" w:ascii="仿宋_GB2312" w:hAnsi="仿宋_GB2312" w:eastAsia="仿宋_GB2312" w:cs="仿宋_GB2312"/>
          <w:sz w:val="24"/>
          <w:szCs w:val="24"/>
          <w:highlight w:val="none"/>
          <w:u w:val="none"/>
        </w:rPr>
        <w:t>副），</w:t>
      </w:r>
      <w:r>
        <w:rPr>
          <w:rFonts w:hint="eastAsia" w:ascii="仿宋_GB2312" w:hAnsi="仿宋_GB2312" w:eastAsia="仿宋_GB2312" w:cs="仿宋_GB2312"/>
          <w:sz w:val="24"/>
          <w:szCs w:val="24"/>
          <w:highlight w:val="none"/>
          <w:u w:val="none"/>
          <w:lang w:eastAsia="zh-CN"/>
        </w:rPr>
        <w:t>乙方</w:t>
      </w:r>
      <w:r>
        <w:rPr>
          <w:rFonts w:hint="eastAsia" w:ascii="仿宋_GB2312" w:hAnsi="仿宋_GB2312" w:eastAsia="仿宋_GB2312" w:cs="仿宋_GB2312"/>
          <w:sz w:val="24"/>
          <w:szCs w:val="24"/>
          <w:highlight w:val="none"/>
          <w:u w:val="none"/>
        </w:rPr>
        <w:t>执</w:t>
      </w:r>
      <w:r>
        <w:rPr>
          <w:rFonts w:hint="eastAsia" w:ascii="仿宋_GB2312" w:hAnsi="仿宋_GB2312" w:eastAsia="仿宋_GB2312" w:cs="仿宋_GB2312"/>
          <w:sz w:val="24"/>
          <w:szCs w:val="24"/>
          <w:highlight w:val="none"/>
          <w:u w:val="none"/>
          <w:lang w:eastAsia="zh-CN"/>
        </w:rPr>
        <w:t>二</w:t>
      </w:r>
      <w:r>
        <w:rPr>
          <w:rFonts w:hint="eastAsia" w:ascii="仿宋_GB2312" w:hAnsi="仿宋_GB2312" w:eastAsia="仿宋_GB2312" w:cs="仿宋_GB2312"/>
          <w:sz w:val="24"/>
          <w:szCs w:val="24"/>
          <w:highlight w:val="none"/>
          <w:u w:val="none"/>
        </w:rPr>
        <w:t>份（一正</w:t>
      </w:r>
      <w:r>
        <w:rPr>
          <w:rFonts w:hint="eastAsia" w:ascii="仿宋_GB2312" w:hAnsi="仿宋_GB2312" w:eastAsia="仿宋_GB2312" w:cs="仿宋_GB2312"/>
          <w:sz w:val="24"/>
          <w:szCs w:val="24"/>
          <w:highlight w:val="none"/>
          <w:u w:val="none"/>
          <w:lang w:eastAsia="zh-CN"/>
        </w:rPr>
        <w:t>一</w:t>
      </w:r>
      <w:r>
        <w:rPr>
          <w:rFonts w:hint="eastAsia" w:ascii="仿宋_GB2312" w:hAnsi="仿宋_GB2312" w:eastAsia="仿宋_GB2312" w:cs="仿宋_GB2312"/>
          <w:sz w:val="24"/>
          <w:szCs w:val="24"/>
          <w:highlight w:val="none"/>
          <w:u w:val="none"/>
        </w:rPr>
        <w:t>副）。合同正本和副本均具有同等法律效力，当合同副本与正本存有差异时，以合同正本为准。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15.7</w:t>
      </w:r>
      <w:r>
        <w:rPr>
          <w:rFonts w:hint="eastAsia" w:ascii="仿宋_GB2312" w:hAnsi="仿宋_GB2312" w:eastAsia="仿宋_GB2312" w:cs="仿宋_GB2312"/>
          <w:sz w:val="24"/>
          <w:szCs w:val="24"/>
          <w:highlight w:val="none"/>
        </w:rPr>
        <w:t>“合同价格”系指</w:t>
      </w:r>
      <w:r>
        <w:rPr>
          <w:rFonts w:hint="eastAsia" w:ascii="仿宋_GB2312" w:hAnsi="仿宋_GB2312" w:eastAsia="仿宋_GB2312" w:cs="仿宋_GB2312"/>
          <w:sz w:val="24"/>
          <w:szCs w:val="24"/>
          <w:highlight w:val="none"/>
          <w:lang w:eastAsia="zh-CN"/>
        </w:rPr>
        <w:t>甲方</w:t>
      </w:r>
      <w:r>
        <w:rPr>
          <w:rFonts w:hint="eastAsia" w:ascii="仿宋_GB2312" w:hAnsi="仿宋_GB2312" w:eastAsia="仿宋_GB2312" w:cs="仿宋_GB2312"/>
          <w:sz w:val="24"/>
          <w:szCs w:val="24"/>
          <w:highlight w:val="none"/>
        </w:rPr>
        <w:t>用于支付</w:t>
      </w:r>
      <w:r>
        <w:rPr>
          <w:rFonts w:hint="eastAsia" w:ascii="仿宋_GB2312" w:hAnsi="仿宋_GB2312" w:eastAsia="仿宋_GB2312" w:cs="仿宋_GB2312"/>
          <w:sz w:val="24"/>
          <w:szCs w:val="24"/>
          <w:highlight w:val="none"/>
          <w:lang w:eastAsia="zh-CN"/>
        </w:rPr>
        <w:t>乙方</w:t>
      </w:r>
      <w:r>
        <w:rPr>
          <w:rFonts w:hint="eastAsia" w:ascii="仿宋_GB2312" w:hAnsi="仿宋_GB2312" w:eastAsia="仿宋_GB2312" w:cs="仿宋_GB2312"/>
          <w:sz w:val="24"/>
          <w:szCs w:val="24"/>
          <w:highlight w:val="none"/>
        </w:rPr>
        <w:t>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highlight w:val="none"/>
          <w:u w:val="single"/>
          <w:lang w:val="en-US" w:eastAsia="zh-CN"/>
        </w:rPr>
      </w:pPr>
      <w:r>
        <w:rPr>
          <w:rFonts w:hint="eastAsia" w:ascii="仿宋_GB2312" w:hAnsi="仿宋_GB2312" w:eastAsia="仿宋_GB2312" w:cs="仿宋_GB2312"/>
          <w:sz w:val="24"/>
          <w:szCs w:val="24"/>
          <w:highlight w:val="none"/>
          <w:lang w:val="en-US" w:eastAsia="zh-CN"/>
        </w:rPr>
        <w:t>15.8双方约定的其他事项（本条约定与合同条款中其他约定不一致时，以本条为准）：</w:t>
      </w:r>
      <w:r>
        <w:rPr>
          <w:rFonts w:hint="eastAsia" w:ascii="仿宋_GB2312" w:hAnsi="仿宋_GB2312" w:eastAsia="仿宋_GB2312" w:cs="仿宋_GB2312"/>
          <w:sz w:val="24"/>
          <w:szCs w:val="24"/>
          <w:highlight w:val="none"/>
          <w:u w:val="single"/>
          <w:lang w:val="en-US" w:eastAsia="zh-CN"/>
        </w:rPr>
        <w:t xml:space="preserve">      </w:t>
      </w:r>
    </w:p>
    <w:p>
      <w:pPr>
        <w:pStyle w:val="2"/>
        <w:keepNext w:val="0"/>
        <w:keepLines w:val="0"/>
        <w:pageBreakBefore w:val="0"/>
        <w:kinsoku/>
        <w:wordWrap/>
        <w:overflowPunct/>
        <w:topLinePunct w:val="0"/>
        <w:autoSpaceDE/>
        <w:autoSpaceDN/>
        <w:bidi w:val="0"/>
        <w:textAlignment w:val="auto"/>
        <w:outlineLvl w:val="9"/>
        <w:rPr>
          <w:rFonts w:hint="eastAsia" w:ascii="仿宋_GB2312" w:hAnsi="仿宋_GB2312" w:eastAsia="仿宋_GB2312" w:cs="仿宋_GB2312"/>
          <w:sz w:val="24"/>
          <w:szCs w:val="24"/>
          <w:highlight w:val="none"/>
          <w:u w:val="single"/>
          <w:lang w:val="en-US" w:eastAsia="zh-CN"/>
        </w:rPr>
      </w:pPr>
    </w:p>
    <w:p>
      <w:pPr>
        <w:keepNext w:val="0"/>
        <w:keepLines w:val="0"/>
        <w:pageBreakBefore w:val="0"/>
        <w:kinsoku/>
        <w:wordWrap/>
        <w:overflowPunct/>
        <w:topLinePunct w:val="0"/>
        <w:autoSpaceDE/>
        <w:autoSpaceDN/>
        <w:bidi w:val="0"/>
        <w:textAlignment w:val="auto"/>
        <w:outlineLvl w:val="9"/>
        <w:rPr>
          <w:rFonts w:hint="eastAsia" w:ascii="仿宋_GB2312" w:hAnsi="仿宋_GB2312" w:eastAsia="仿宋_GB2312" w:cs="仿宋_GB2312"/>
          <w:sz w:val="24"/>
          <w:szCs w:val="24"/>
          <w:highlight w:val="none"/>
          <w:u w:val="single"/>
          <w:lang w:val="en-US" w:eastAsia="zh-CN"/>
        </w:rPr>
        <w:sectPr>
          <w:headerReference r:id="rId13" w:type="default"/>
          <w:footerReference r:id="rId14" w:type="default"/>
          <w:pgSz w:w="11906" w:h="16838"/>
          <w:pgMar w:top="1418" w:right="1418" w:bottom="1418" w:left="1588" w:header="851" w:footer="992" w:gutter="0"/>
          <w:pgNumType w:fmt="decimal"/>
          <w:cols w:space="720" w:num="1"/>
          <w:docGrid w:type="lines" w:linePitch="312" w:charSpace="0"/>
        </w:sectPr>
      </w:pPr>
    </w:p>
    <w:p>
      <w:pPr>
        <w:pStyle w:val="2"/>
        <w:keepNext w:val="0"/>
        <w:keepLines w:val="0"/>
        <w:pageBreakBefore w:val="0"/>
        <w:kinsoku/>
        <w:wordWrap/>
        <w:overflowPunct/>
        <w:topLinePunct w:val="0"/>
        <w:autoSpaceDE/>
        <w:autoSpaceDN/>
        <w:bidi w:val="0"/>
        <w:textAlignment w:val="auto"/>
        <w:outlineLvl w:val="9"/>
        <w:rPr>
          <w:rFonts w:hint="eastAsia"/>
          <w:highlight w:val="none"/>
          <w:lang w:val="en-US" w:eastAsia="zh-CN"/>
        </w:rPr>
      </w:pPr>
    </w:p>
    <w:p>
      <w:pPr>
        <w:pStyle w:val="2"/>
        <w:keepNext w:val="0"/>
        <w:keepLines w:val="0"/>
        <w:pageBreakBefore w:val="0"/>
        <w:kinsoku/>
        <w:wordWrap/>
        <w:overflowPunct/>
        <w:topLinePunct w:val="0"/>
        <w:autoSpaceDE/>
        <w:autoSpaceDN/>
        <w:bidi w:val="0"/>
        <w:textAlignment w:val="auto"/>
        <w:outlineLvl w:val="9"/>
        <w:rPr>
          <w:rFonts w:hint="eastAsia"/>
          <w:highlight w:val="none"/>
        </w:rPr>
      </w:pPr>
    </w:p>
    <w:p>
      <w:pPr>
        <w:keepNext w:val="0"/>
        <w:keepLines w:val="0"/>
        <w:pageBreakBefore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（以下无正文条款）</w:t>
      </w:r>
    </w:p>
    <w:p>
      <w:pPr>
        <w:keepNext w:val="0"/>
        <w:keepLines w:val="0"/>
        <w:pageBreakBefore w:val="0"/>
        <w:kinsoku/>
        <w:wordWrap/>
        <w:overflowPunct/>
        <w:topLinePunct w:val="0"/>
        <w:autoSpaceDE/>
        <w:autoSpaceDN/>
        <w:bidi w:val="0"/>
        <w:adjustRightInd w:val="0"/>
        <w:snapToGrid w:val="0"/>
        <w:spacing w:line="360" w:lineRule="auto"/>
        <w:ind w:firstLine="630"/>
        <w:textAlignment w:val="auto"/>
        <w:outlineLvl w:val="9"/>
        <w:rPr>
          <w:rFonts w:hint="eastAsia" w:ascii="仿宋" w:hAnsi="仿宋" w:eastAsia="仿宋" w:cs="仿宋"/>
          <w:sz w:val="24"/>
          <w:szCs w:val="24"/>
          <w:highlight w:val="none"/>
        </w:rPr>
      </w:pPr>
    </w:p>
    <w:bookmarkEnd w:id="75"/>
    <w:tbl>
      <w:tblPr>
        <w:tblStyle w:val="47"/>
        <w:tblW w:w="0" w:type="auto"/>
        <w:jc w:val="center"/>
        <w:tblLayout w:type="fixed"/>
        <w:tblCellMar>
          <w:top w:w="0" w:type="dxa"/>
          <w:left w:w="108" w:type="dxa"/>
          <w:bottom w:w="0" w:type="dxa"/>
          <w:right w:w="108" w:type="dxa"/>
        </w:tblCellMar>
      </w:tblPr>
      <w:tblGrid>
        <w:gridCol w:w="4324"/>
        <w:gridCol w:w="4115"/>
      </w:tblGrid>
      <w:tr>
        <w:tblPrEx>
          <w:tblCellMar>
            <w:top w:w="0" w:type="dxa"/>
            <w:left w:w="108" w:type="dxa"/>
            <w:bottom w:w="0" w:type="dxa"/>
            <w:right w:w="108" w:type="dxa"/>
          </w:tblCellMar>
        </w:tblPrEx>
        <w:trPr>
          <w:trHeight w:val="1343"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甲方：(盖章)</w:t>
            </w:r>
          </w:p>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乙方：（盖章）</w:t>
            </w:r>
          </w:p>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p>
        </w:tc>
      </w:tr>
      <w:tr>
        <w:tblPrEx>
          <w:tblCellMar>
            <w:top w:w="0" w:type="dxa"/>
            <w:left w:w="108" w:type="dxa"/>
            <w:bottom w:w="0" w:type="dxa"/>
            <w:right w:w="108" w:type="dxa"/>
          </w:tblCellMar>
        </w:tblPrEx>
        <w:trPr>
          <w:trHeight w:val="1107"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法定代表人或其授权代表：</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34" w:leftChars="16"/>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法定代表人或其授权代表：</w:t>
            </w:r>
          </w:p>
        </w:tc>
      </w:tr>
      <w:tr>
        <w:tblPrEx>
          <w:tblCellMar>
            <w:top w:w="0" w:type="dxa"/>
            <w:left w:w="108" w:type="dxa"/>
            <w:bottom w:w="0" w:type="dxa"/>
            <w:right w:w="108" w:type="dxa"/>
          </w:tblCellMar>
        </w:tblPrEx>
        <w:trPr>
          <w:trHeight w:val="670"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址：  </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址：  </w:t>
            </w:r>
          </w:p>
        </w:tc>
      </w:tr>
      <w:tr>
        <w:tblPrEx>
          <w:tblCellMar>
            <w:top w:w="0" w:type="dxa"/>
            <w:left w:w="108" w:type="dxa"/>
            <w:bottom w:w="0" w:type="dxa"/>
            <w:right w:w="108" w:type="dxa"/>
          </w:tblCellMar>
        </w:tblPrEx>
        <w:trPr>
          <w:trHeight w:val="703"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编： </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编： </w:t>
            </w:r>
          </w:p>
        </w:tc>
      </w:tr>
      <w:tr>
        <w:tblPrEx>
          <w:tblCellMar>
            <w:top w:w="0" w:type="dxa"/>
            <w:left w:w="108" w:type="dxa"/>
            <w:bottom w:w="0" w:type="dxa"/>
            <w:right w:w="108" w:type="dxa"/>
          </w:tblCellMar>
        </w:tblPrEx>
        <w:trPr>
          <w:trHeight w:val="670"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话： </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话： </w:t>
            </w:r>
          </w:p>
        </w:tc>
      </w:tr>
      <w:tr>
        <w:tblPrEx>
          <w:tblCellMar>
            <w:top w:w="0" w:type="dxa"/>
            <w:left w:w="108" w:type="dxa"/>
            <w:bottom w:w="0" w:type="dxa"/>
            <w:right w:w="108" w:type="dxa"/>
          </w:tblCellMar>
        </w:tblPrEx>
        <w:trPr>
          <w:trHeight w:val="807"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传</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真： </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传</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真： </w:t>
            </w:r>
          </w:p>
        </w:tc>
      </w:tr>
      <w:tr>
        <w:tblPrEx>
          <w:tblCellMar>
            <w:top w:w="0" w:type="dxa"/>
            <w:left w:w="108" w:type="dxa"/>
            <w:bottom w:w="0" w:type="dxa"/>
            <w:right w:w="108" w:type="dxa"/>
          </w:tblCellMar>
        </w:tblPrEx>
        <w:trPr>
          <w:trHeight w:val="670"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tc>
      </w:tr>
      <w:tr>
        <w:tblPrEx>
          <w:tblCellMar>
            <w:top w:w="0" w:type="dxa"/>
            <w:left w:w="108" w:type="dxa"/>
            <w:bottom w:w="0" w:type="dxa"/>
            <w:right w:w="108" w:type="dxa"/>
          </w:tblCellMar>
        </w:tblPrEx>
        <w:trPr>
          <w:trHeight w:val="728"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账</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号：</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账</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号：</w:t>
            </w:r>
          </w:p>
        </w:tc>
      </w:tr>
      <w:tr>
        <w:tblPrEx>
          <w:tblCellMar>
            <w:top w:w="0" w:type="dxa"/>
            <w:left w:w="108" w:type="dxa"/>
            <w:bottom w:w="0" w:type="dxa"/>
            <w:right w:w="108" w:type="dxa"/>
          </w:tblCellMar>
        </w:tblPrEx>
        <w:trPr>
          <w:trHeight w:val="670" w:hRule="atLeast"/>
          <w:jc w:val="center"/>
        </w:trPr>
        <w:tc>
          <w:tcPr>
            <w:tcW w:w="4324"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税</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号：</w:t>
            </w:r>
          </w:p>
        </w:tc>
        <w:tc>
          <w:tcPr>
            <w:tcW w:w="4115" w:type="dxa"/>
            <w:tcBorders>
              <w:top w:val="nil"/>
              <w:left w:val="nil"/>
              <w:bottom w:val="nil"/>
              <w:right w:val="nil"/>
            </w:tcBorders>
            <w:noWrap w:val="0"/>
            <w:vAlign w:val="top"/>
          </w:tcPr>
          <w:p>
            <w:pPr>
              <w:pStyle w:val="26"/>
              <w:keepNext w:val="0"/>
              <w:keepLines w:val="0"/>
              <w:pageBreakBefore w:val="0"/>
              <w:kinsoku/>
              <w:wordWrap/>
              <w:overflowPunct/>
              <w:topLinePunct w:val="0"/>
              <w:autoSpaceDE/>
              <w:autoSpaceDN/>
              <w:bidi w:val="0"/>
              <w:snapToGrid w:val="0"/>
              <w:spacing w:line="360" w:lineRule="auto"/>
              <w:ind w:left="19" w:leftChars="9"/>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税</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lang w:eastAsia="zh-CN"/>
              </w:rPr>
              <w:t>号：</w:t>
            </w:r>
          </w:p>
        </w:tc>
      </w:tr>
    </w:tbl>
    <w:p>
      <w:pPr>
        <w:keepNext w:val="0"/>
        <w:keepLines w:val="0"/>
        <w:pageBreakBefore w:val="0"/>
        <w:kinsoku/>
        <w:wordWrap/>
        <w:overflowPunct/>
        <w:topLinePunct w:val="0"/>
        <w:autoSpaceDE/>
        <w:autoSpaceDN/>
        <w:bidi w:val="0"/>
        <w:adjustRightInd w:val="0"/>
        <w:snapToGrid w:val="0"/>
        <w:spacing w:line="800" w:lineRule="exact"/>
        <w:textAlignment w:val="auto"/>
        <w:outlineLvl w:val="9"/>
        <w:rPr>
          <w:rFonts w:hint="eastAsia" w:ascii="仿宋" w:hAnsi="仿宋" w:eastAsia="仿宋" w:cs="仿宋"/>
          <w:sz w:val="32"/>
          <w:szCs w:val="32"/>
          <w:highlight w:val="none"/>
        </w:rPr>
        <w:sectPr>
          <w:pgSz w:w="11906" w:h="16838"/>
          <w:pgMar w:top="1418" w:right="1418" w:bottom="1418" w:left="1588" w:header="851" w:footer="992" w:gutter="0"/>
          <w:pgNumType w:fmt="decimal"/>
          <w:cols w:space="720" w:num="1"/>
          <w:docGrid w:type="lines" w:linePitch="312" w:charSpace="0"/>
        </w:sectPr>
      </w:pPr>
      <w:r>
        <w:rPr>
          <w:rFonts w:hint="eastAsia" w:ascii="仿宋" w:hAnsi="仿宋" w:eastAsia="仿宋" w:cs="仿宋"/>
          <w:sz w:val="32"/>
          <w:szCs w:val="32"/>
          <w:highlight w:val="none"/>
        </w:rPr>
        <w:t xml:space="preserve"> </w:t>
      </w:r>
    </w:p>
    <w:p>
      <w:pPr>
        <w:keepNext w:val="0"/>
        <w:keepLines w:val="0"/>
        <w:pageBreakBefore w:val="0"/>
        <w:numPr>
          <w:ilvl w:val="0"/>
          <w:numId w:val="0"/>
        </w:numPr>
        <w:tabs>
          <w:tab w:val="left" w:pos="2799"/>
        </w:tabs>
        <w:kinsoku/>
        <w:wordWrap/>
        <w:overflowPunct/>
        <w:topLinePunct w:val="0"/>
        <w:autoSpaceDE/>
        <w:autoSpaceDN/>
        <w:bidi w:val="0"/>
        <w:spacing w:line="400" w:lineRule="exact"/>
        <w:ind w:leftChars="0" w:right="0" w:rightChars="0"/>
        <w:jc w:val="center"/>
        <w:textAlignment w:val="auto"/>
        <w:outlineLvl w:val="9"/>
        <w:rPr>
          <w:rFonts w:hint="eastAsia" w:ascii="仿宋" w:hAnsi="仿宋" w:eastAsia="仿宋" w:cs="仿宋"/>
          <w:b/>
          <w:bCs/>
          <w:sz w:val="32"/>
          <w:szCs w:val="32"/>
          <w:highlight w:val="none"/>
          <w:lang w:val="en-US" w:eastAsia="zh-CN"/>
        </w:rPr>
      </w:pPr>
      <w:bookmarkStart w:id="91" w:name="_Toc10030"/>
      <w:r>
        <w:rPr>
          <w:rFonts w:hint="eastAsia" w:ascii="仿宋" w:hAnsi="仿宋" w:eastAsia="仿宋" w:cs="仿宋"/>
          <w:b/>
          <w:bCs/>
          <w:sz w:val="32"/>
          <w:szCs w:val="32"/>
          <w:highlight w:val="none"/>
          <w:lang w:val="en-US" w:eastAsia="zh-CN"/>
        </w:rPr>
        <w:t>第二部分 中选通知书</w:t>
      </w:r>
      <w:r>
        <w:rPr>
          <w:rFonts w:hint="eastAsia" w:ascii="仿宋" w:hAnsi="仿宋" w:eastAsia="仿宋" w:cs="仿宋"/>
          <w:sz w:val="32"/>
          <w:szCs w:val="32"/>
          <w:highlight w:val="none"/>
        </w:rPr>
        <w:br w:type="page"/>
      </w:r>
      <w:r>
        <w:rPr>
          <w:rFonts w:hint="eastAsia" w:ascii="仿宋" w:hAnsi="仿宋" w:eastAsia="仿宋" w:cs="仿宋"/>
          <w:b/>
          <w:bCs/>
          <w:sz w:val="32"/>
          <w:szCs w:val="32"/>
          <w:highlight w:val="none"/>
          <w:lang w:val="en-US" w:eastAsia="zh-CN"/>
        </w:rPr>
        <w:t>第三部分 合同附件</w:t>
      </w:r>
    </w:p>
    <w:bookmarkEnd w:id="91"/>
    <w:p>
      <w:pPr>
        <w:keepNext w:val="0"/>
        <w:keepLines w:val="0"/>
        <w:pageBreakBefore w:val="0"/>
        <w:kinsoku/>
        <w:wordWrap/>
        <w:overflowPunct/>
        <w:topLinePunct w:val="0"/>
        <w:autoSpaceDE/>
        <w:autoSpaceDN/>
        <w:bidi w:val="0"/>
        <w:adjustRightInd w:val="0"/>
        <w:snapToGrid w:val="0"/>
        <w:textAlignment w:val="auto"/>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bCs/>
          <w:sz w:val="24"/>
          <w:highlight w:val="none"/>
        </w:rPr>
        <w:t>附件1 廉政协议</w:t>
      </w:r>
    </w:p>
    <w:p>
      <w:pPr>
        <w:keepNext w:val="0"/>
        <w:keepLines w:val="0"/>
        <w:pageBreakBefore w:val="0"/>
        <w:kinsoku/>
        <w:wordWrap/>
        <w:overflowPunct/>
        <w:topLinePunct w:val="0"/>
        <w:autoSpaceDE/>
        <w:autoSpaceDN/>
        <w:bidi w:val="0"/>
        <w:adjustRightInd w:val="0"/>
        <w:snapToGrid w:val="0"/>
        <w:jc w:val="center"/>
        <w:textAlignment w:val="auto"/>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keepNext w:val="0"/>
        <w:keepLines w:val="0"/>
        <w:pageBreakBefore w:val="0"/>
        <w:widowControl/>
        <w:kinsoku/>
        <w:wordWrap/>
        <w:overflowPunct/>
        <w:topLinePunct w:val="0"/>
        <w:autoSpaceDE/>
        <w:autoSpaceDN/>
        <w:bidi w:val="0"/>
        <w:snapToGrid w:val="0"/>
        <w:spacing w:line="360" w:lineRule="auto"/>
        <w:jc w:val="left"/>
        <w:textAlignment w:val="auto"/>
        <w:outlineLvl w:val="9"/>
        <w:rPr>
          <w:rFonts w:hint="eastAsia" w:ascii="仿宋_GB2312" w:hAnsi="仿宋_GB2312" w:eastAsia="仿宋_GB2312" w:cs="仿宋_GB2312"/>
          <w:sz w:val="24"/>
          <w:highlight w:val="none"/>
          <w:lang w:bidi="en-US"/>
        </w:rPr>
      </w:pPr>
    </w:p>
    <w:p>
      <w:pPr>
        <w:pStyle w:val="13"/>
        <w:keepNext w:val="0"/>
        <w:keepLines w:val="0"/>
        <w:pageBreakBefore w:val="0"/>
        <w:kinsoku/>
        <w:wordWrap/>
        <w:overflowPunct/>
        <w:topLinePunct w:val="0"/>
        <w:autoSpaceDE/>
        <w:autoSpaceDN/>
        <w:bidi w:val="0"/>
        <w:snapToGrid w:val="0"/>
        <w:spacing w:line="440" w:lineRule="exact"/>
        <w:ind w:firstLine="0"/>
        <w:jc w:val="left"/>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lang w:val="en-US" w:eastAsia="zh-CN"/>
        </w:rPr>
        <w:t>甲方</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szCs w:val="24"/>
          <w:highlight w:val="none"/>
          <w:u w:val="single"/>
          <w:lang w:val="en-US" w:eastAsia="zh-CN"/>
        </w:rPr>
        <w:t>长沙市轨道交通运营有限公司</w:t>
      </w:r>
    </w:p>
    <w:p>
      <w:pPr>
        <w:pStyle w:val="13"/>
        <w:keepNext w:val="0"/>
        <w:keepLines w:val="0"/>
        <w:pageBreakBefore w:val="0"/>
        <w:kinsoku/>
        <w:wordWrap/>
        <w:overflowPunct/>
        <w:topLinePunct w:val="0"/>
        <w:autoSpaceDE/>
        <w:autoSpaceDN/>
        <w:bidi w:val="0"/>
        <w:snapToGrid w:val="0"/>
        <w:spacing w:line="440" w:lineRule="exact"/>
        <w:ind w:firstLine="0"/>
        <w:jc w:val="left"/>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line="440" w:lineRule="exact"/>
        <w:ind w:firstLine="480"/>
        <w:jc w:val="left"/>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bookmarkStart w:id="92" w:name="_Toc59896701"/>
      <w:bookmarkStart w:id="93" w:name="_Toc59900969"/>
      <w:r>
        <w:rPr>
          <w:rFonts w:hint="eastAsia" w:ascii="仿宋_GB2312" w:hAnsi="仿宋_GB2312" w:eastAsia="仿宋_GB2312" w:cs="仿宋_GB2312"/>
          <w:sz w:val="24"/>
          <w:highlight w:val="none"/>
        </w:rPr>
        <w:t xml:space="preserve">第一条 </w:t>
      </w:r>
      <w:bookmarkEnd w:id="92"/>
      <w:bookmarkEnd w:id="93"/>
      <w:r>
        <w:rPr>
          <w:rFonts w:hint="eastAsia" w:ascii="仿宋_GB2312" w:hAnsi="仿宋_GB2312" w:eastAsia="仿宋_GB2312" w:cs="仿宋_GB2312"/>
          <w:sz w:val="24"/>
          <w:highlight w:val="none"/>
        </w:rPr>
        <w:t>共同责任</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szCs w:val="24"/>
          <w:highlight w:val="none"/>
          <w:u w:val="single"/>
          <w:lang w:val="en-US" w:eastAsia="zh-CN"/>
        </w:rPr>
        <w:t>长沙市轨道交通2号线一期工程运营期车站出入口硅纤板改造工程项目</w:t>
      </w:r>
      <w:r>
        <w:rPr>
          <w:rFonts w:hint="eastAsia" w:ascii="仿宋_GB2312" w:hAnsi="仿宋_GB2312" w:eastAsia="仿宋_GB2312" w:cs="仿宋_GB2312"/>
          <w:sz w:val="24"/>
          <w:highlight w:val="none"/>
        </w:rPr>
        <w:t>（以下称主合同）的合同文件，自觉按合同办事。</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第二条 共同权利</w:t>
      </w:r>
    </w:p>
    <w:p>
      <w:pPr>
        <w:keepNext w:val="0"/>
        <w:keepLines w:val="0"/>
        <w:pageBreakBefore w:val="0"/>
        <w:kinsoku/>
        <w:wordWrap/>
        <w:overflowPunct/>
        <w:topLinePunct w:val="0"/>
        <w:autoSpaceDE/>
        <w:autoSpaceDN/>
        <w:bidi w:val="0"/>
        <w:adjustRightInd w:val="0"/>
        <w:snapToGrid w:val="0"/>
        <w:spacing w:line="440" w:lineRule="exact"/>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bookmarkStart w:id="94" w:name="_Toc59900970"/>
      <w:bookmarkStart w:id="95" w:name="_Toc59896702"/>
      <w:r>
        <w:rPr>
          <w:rFonts w:hint="eastAsia" w:ascii="仿宋_GB2312" w:hAnsi="仿宋_GB2312" w:eastAsia="仿宋_GB2312" w:cs="仿宋_GB2312"/>
          <w:sz w:val="24"/>
          <w:highlight w:val="none"/>
        </w:rPr>
        <w:t>第三条 甲方的义务</w:t>
      </w:r>
      <w:bookmarkEnd w:id="94"/>
      <w:bookmarkEnd w:id="95"/>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bookmarkStart w:id="96" w:name="_Toc59896703"/>
      <w:bookmarkStart w:id="97" w:name="_Toc59900971"/>
      <w:r>
        <w:rPr>
          <w:rFonts w:hint="eastAsia" w:ascii="仿宋_GB2312" w:hAnsi="仿宋_GB2312" w:eastAsia="仿宋_GB2312" w:cs="仿宋_GB2312"/>
          <w:sz w:val="24"/>
          <w:highlight w:val="none"/>
        </w:rPr>
        <w:t>第四条 乙方义务</w:t>
      </w:r>
      <w:bookmarkEnd w:id="96"/>
      <w:bookmarkEnd w:id="97"/>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第五条 违约责任</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keepNext w:val="0"/>
        <w:keepLines w:val="0"/>
        <w:pageBreakBefore w:val="0"/>
        <w:kinsoku/>
        <w:wordWrap/>
        <w:overflowPunct/>
        <w:topLinePunct w:val="0"/>
        <w:autoSpaceDE/>
        <w:autoSpaceDN/>
        <w:bidi w:val="0"/>
        <w:adjustRightInd w:val="0"/>
        <w:snapToGrid w:val="0"/>
        <w:spacing w:line="440" w:lineRule="exact"/>
        <w:ind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pStyle w:val="2"/>
        <w:keepNext w:val="0"/>
        <w:keepLines w:val="0"/>
        <w:pageBreakBefore w:val="0"/>
        <w:kinsoku/>
        <w:wordWrap/>
        <w:overflowPunct/>
        <w:topLinePunct w:val="0"/>
        <w:autoSpaceDE/>
        <w:autoSpaceDN/>
        <w:bidi w:val="0"/>
        <w:textAlignment w:val="auto"/>
        <w:outlineLvl w:val="9"/>
        <w:rPr>
          <w:rFonts w:hint="eastAsia" w:eastAsia="宋体"/>
          <w:highlight w:val="none"/>
          <w:lang w:val="en-US" w:eastAsia="zh-CN"/>
        </w:rPr>
      </w:pPr>
    </w:p>
    <w:p>
      <w:pPr>
        <w:keepNext w:val="0"/>
        <w:keepLines w:val="0"/>
        <w:pageBreakBefore w:val="0"/>
        <w:kinsoku/>
        <w:wordWrap/>
        <w:overflowPunct/>
        <w:topLinePunct w:val="0"/>
        <w:autoSpaceDE/>
        <w:autoSpaceDN/>
        <w:bidi w:val="0"/>
        <w:snapToGrid w:val="0"/>
        <w:spacing w:line="440" w:lineRule="exact"/>
        <w:textAlignment w:val="auto"/>
        <w:outlineLvl w:val="9"/>
        <w:rPr>
          <w:rFonts w:hint="eastAsia" w:ascii="仿宋_GB2312" w:hAnsi="仿宋_GB2312" w:eastAsia="仿宋_GB2312" w:cs="仿宋_GB2312"/>
          <w:sz w:val="24"/>
          <w:highlight w:val="none"/>
        </w:rPr>
        <w:sectPr>
          <w:footerReference r:id="rId15"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keepNext w:val="0"/>
        <w:keepLines w:val="0"/>
        <w:pageBreakBefore w:val="0"/>
        <w:kinsoku/>
        <w:wordWrap/>
        <w:overflowPunct/>
        <w:topLinePunct w:val="0"/>
        <w:autoSpaceDE/>
        <w:autoSpaceDN/>
        <w:bidi w:val="0"/>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textAlignment w:val="auto"/>
        <w:outlineLvl w:val="9"/>
        <w:rPr>
          <w:rFonts w:hint="eastAsia" w:ascii="仿宋_GB2312" w:hAnsi="仿宋_GB2312" w:eastAsia="仿宋_GB2312" w:cs="仿宋_GB2312"/>
          <w:highlight w:val="none"/>
        </w:rPr>
      </w:pP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keepNext w:val="0"/>
        <w:keepLines w:val="0"/>
        <w:pageBreakBefore w:val="0"/>
        <w:tabs>
          <w:tab w:val="left" w:pos="2799"/>
        </w:tabs>
        <w:kinsoku/>
        <w:wordWrap/>
        <w:overflowPunct/>
        <w:topLinePunct w:val="0"/>
        <w:autoSpaceDE/>
        <w:autoSpaceDN/>
        <w:bidi w:val="0"/>
        <w:spacing w:line="400" w:lineRule="exact"/>
        <w:ind w:left="0" w:leftChars="0" w:right="0" w:rightChars="0" w:firstLine="0" w:firstLineChars="0"/>
        <w:jc w:val="left"/>
        <w:textAlignment w:val="auto"/>
        <w:outlineLvl w:val="9"/>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sz w:val="24"/>
          <w:szCs w:val="24"/>
          <w:highlight w:val="none"/>
        </w:rPr>
      </w:pPr>
      <w:r>
        <w:rPr>
          <w:rFonts w:hint="eastAsia" w:ascii="仿宋" w:hAnsi="仿宋" w:eastAsia="仿宋" w:cs="仿宋"/>
          <w:highlight w:val="none"/>
        </w:rPr>
        <w:br w:type="page"/>
      </w:r>
      <w:r>
        <w:rPr>
          <w:rFonts w:hint="eastAsia" w:ascii="仿宋_GB2312" w:hAnsi="仿宋_GB2312" w:eastAsia="仿宋_GB2312" w:cs="仿宋_GB2312"/>
          <w:sz w:val="24"/>
          <w:szCs w:val="24"/>
          <w:highlight w:val="none"/>
        </w:rPr>
        <w:t>附件</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：签约合同价格清单（已标价工程量清单或预算书）</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br w:type="page"/>
      </w:r>
      <w:bookmarkStart w:id="98" w:name="_Toc7255"/>
      <w:r>
        <w:rPr>
          <w:rFonts w:hint="eastAsia" w:ascii="仿宋_GB2312" w:hAnsi="仿宋_GB2312" w:eastAsia="仿宋_GB2312" w:cs="仿宋_GB2312"/>
          <w:sz w:val="24"/>
          <w:szCs w:val="24"/>
          <w:highlight w:val="none"/>
          <w:lang w:eastAsia="zh-CN"/>
        </w:rPr>
        <w:t>附件</w:t>
      </w:r>
      <w:r>
        <w:rPr>
          <w:rFonts w:hint="eastAsia" w:ascii="仿宋_GB2312" w:hAnsi="仿宋_GB2312" w:eastAsia="仿宋_GB2312" w:cs="仿宋_GB2312"/>
          <w:sz w:val="24"/>
          <w:szCs w:val="24"/>
          <w:highlight w:val="none"/>
          <w:lang w:val="en-US" w:eastAsia="zh-CN"/>
        </w:rPr>
        <w:t>3：用户需求书/技术规格书</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br w:type="page"/>
      </w:r>
    </w:p>
    <w:p>
      <w:pPr>
        <w:keepNext w:val="0"/>
        <w:keepLines w:val="0"/>
        <w:pageBreakBefore w:val="0"/>
        <w:kinsoku/>
        <w:wordWrap/>
        <w:overflowPunct/>
        <w:topLinePunct w:val="0"/>
        <w:autoSpaceDE/>
        <w:autoSpaceDN/>
        <w:bidi w:val="0"/>
        <w:adjustRightInd w:val="0"/>
        <w:snapToGrid w:val="0"/>
        <w:spacing w:line="400" w:lineRule="exact"/>
        <w:jc w:val="center"/>
        <w:textAlignment w:val="auto"/>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eastAsia="zh-CN"/>
        </w:rPr>
        <w:t>第四部分</w:t>
      </w:r>
      <w:r>
        <w:rPr>
          <w:rFonts w:hint="eastAsia" w:ascii="仿宋_GB2312" w:hAnsi="仿宋_GB2312" w:eastAsia="仿宋_GB2312" w:cs="仿宋_GB2312"/>
          <w:b/>
          <w:bCs w:val="0"/>
          <w:sz w:val="32"/>
          <w:szCs w:val="32"/>
          <w:highlight w:val="none"/>
          <w:lang w:val="en-US" w:eastAsia="zh-CN"/>
        </w:rPr>
        <w:t xml:space="preserve"> </w:t>
      </w:r>
      <w:r>
        <w:rPr>
          <w:rFonts w:hint="eastAsia" w:ascii="仿宋_GB2312" w:hAnsi="仿宋_GB2312" w:eastAsia="仿宋_GB2312" w:cs="仿宋_GB2312"/>
          <w:b/>
          <w:bCs w:val="0"/>
          <w:sz w:val="32"/>
          <w:szCs w:val="32"/>
          <w:highlight w:val="none"/>
        </w:rPr>
        <w:t>合同附录</w:t>
      </w:r>
      <w:bookmarkEnd w:id="98"/>
      <w:bookmarkStart w:id="99" w:name="_Toc460309156"/>
      <w:bookmarkStart w:id="100" w:name="_Toc451247264"/>
      <w:bookmarkStart w:id="101" w:name="_Toc437444976"/>
      <w:bookmarkStart w:id="102" w:name="_Toc411417807"/>
    </w:p>
    <w:bookmarkEnd w:id="99"/>
    <w:bookmarkEnd w:id="100"/>
    <w:bookmarkEnd w:id="101"/>
    <w:bookmarkEnd w:id="102"/>
    <w:p>
      <w:pPr>
        <w:pStyle w:val="13"/>
        <w:keepNext w:val="0"/>
        <w:keepLines w:val="0"/>
        <w:pageBreakBefore w:val="0"/>
        <w:kinsoku/>
        <w:wordWrap/>
        <w:overflowPunct/>
        <w:topLinePunct w:val="0"/>
        <w:autoSpaceDE/>
        <w:autoSpaceDN/>
        <w:bidi w:val="0"/>
        <w:snapToGrid w:val="0"/>
        <w:spacing w:before="156" w:line="360" w:lineRule="auto"/>
        <w:ind w:firstLine="0"/>
        <w:textAlignment w:val="auto"/>
        <w:outlineLvl w:val="9"/>
        <w:rPr>
          <w:rFonts w:hint="eastAsia" w:ascii="仿宋_GB2312" w:hAnsi="仿宋_GB2312" w:eastAsia="仿宋_GB2312" w:cs="仿宋_GB2312"/>
          <w:b/>
          <w:sz w:val="24"/>
          <w:highlight w:val="none"/>
        </w:rPr>
      </w:pPr>
      <w:bookmarkStart w:id="103" w:name="_Toc6333"/>
      <w:r>
        <w:rPr>
          <w:rFonts w:hint="eastAsia" w:ascii="仿宋_GB2312" w:hAnsi="仿宋_GB2312" w:eastAsia="仿宋_GB2312" w:cs="仿宋_GB2312"/>
          <w:b/>
          <w:sz w:val="24"/>
          <w:highlight w:val="none"/>
        </w:rPr>
        <w:t>附录1  履约保函（格式</w:t>
      </w:r>
      <w:bookmarkEnd w:id="103"/>
      <w:r>
        <w:rPr>
          <w:rFonts w:hint="eastAsia" w:ascii="仿宋_GB2312" w:hAnsi="仿宋_GB2312" w:eastAsia="仿宋_GB2312" w:cs="仿宋_GB2312"/>
          <w:b/>
          <w:sz w:val="24"/>
          <w:highlight w:val="none"/>
        </w:rPr>
        <w:t>）</w:t>
      </w:r>
    </w:p>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 xml:space="preserve">                              保函编号：</w:t>
      </w:r>
    </w:p>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b/>
          <w:sz w:val="24"/>
          <w:highlight w:val="none"/>
        </w:rPr>
      </w:pPr>
    </w:p>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keepNext w:val="0"/>
        <w:keepLines w:val="0"/>
        <w:pageBreakBefore w:val="0"/>
        <w:kinsoku/>
        <w:wordWrap/>
        <w:overflowPunct/>
        <w:topLinePunct w:val="0"/>
        <w:autoSpaceDE/>
        <w:autoSpaceDN/>
        <w:bidi w:val="0"/>
        <w:jc w:val="center"/>
        <w:textAlignment w:val="auto"/>
        <w:outlineLvl w:val="9"/>
        <w:rPr>
          <w:rFonts w:hint="eastAsia" w:ascii="仿宋_GB2312" w:hAnsi="仿宋_GB2312" w:eastAsia="仿宋_GB2312" w:cs="仿宋_GB2312"/>
          <w:b/>
          <w:sz w:val="24"/>
          <w:highlight w:val="none"/>
        </w:rPr>
      </w:pP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line="360" w:lineRule="auto"/>
        <w:ind w:left="15" w:leftChars="7"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keepNext w:val="0"/>
        <w:keepLines w:val="0"/>
        <w:pageBreakBefore w:val="0"/>
        <w:kinsoku/>
        <w:wordWrap/>
        <w:overflowPunct/>
        <w:topLinePunct w:val="0"/>
        <w:autoSpaceDE/>
        <w:autoSpaceDN/>
        <w:bidi w:val="0"/>
        <w:adjustRightInd w:val="0"/>
        <w:snapToGrid w:val="0"/>
        <w:spacing w:line="360" w:lineRule="auto"/>
        <w:ind w:left="15" w:leftChars="7"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keepNext w:val="0"/>
        <w:keepLines w:val="0"/>
        <w:pageBreakBefore w:val="0"/>
        <w:kinsoku/>
        <w:wordWrap/>
        <w:overflowPunct/>
        <w:topLinePunct w:val="0"/>
        <w:autoSpaceDE/>
        <w:autoSpaceDN/>
        <w:bidi w:val="0"/>
        <w:adjustRightInd w:val="0"/>
        <w:snapToGrid w:val="0"/>
        <w:spacing w:line="360" w:lineRule="auto"/>
        <w:ind w:left="15" w:leftChars="7"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keepNext w:val="0"/>
        <w:keepLines w:val="0"/>
        <w:pageBreakBefore w:val="0"/>
        <w:kinsoku/>
        <w:wordWrap/>
        <w:overflowPunct/>
        <w:topLinePunct w:val="0"/>
        <w:autoSpaceDE/>
        <w:autoSpaceDN/>
        <w:bidi w:val="0"/>
        <w:adjustRightInd w:val="0"/>
        <w:snapToGrid w:val="0"/>
        <w:spacing w:line="360" w:lineRule="auto"/>
        <w:ind w:left="15" w:leftChars="7"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keepNext w:val="0"/>
        <w:keepLines w:val="0"/>
        <w:pageBreakBefore w:val="0"/>
        <w:kinsoku/>
        <w:wordWrap/>
        <w:overflowPunct/>
        <w:topLinePunct w:val="0"/>
        <w:autoSpaceDE/>
        <w:autoSpaceDN/>
        <w:bidi w:val="0"/>
        <w:adjustRightInd w:val="0"/>
        <w:snapToGrid w:val="0"/>
        <w:spacing w:line="360" w:lineRule="auto"/>
        <w:ind w:left="15" w:leftChars="7"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keepNext w:val="0"/>
        <w:keepLines w:val="0"/>
        <w:pageBreakBefore w:val="0"/>
        <w:kinsoku/>
        <w:wordWrap/>
        <w:overflowPunct/>
        <w:topLinePunct w:val="0"/>
        <w:autoSpaceDE/>
        <w:autoSpaceDN/>
        <w:bidi w:val="0"/>
        <w:adjustRightInd w:val="0"/>
        <w:snapToGrid w:val="0"/>
        <w:spacing w:line="360" w:lineRule="auto"/>
        <w:ind w:left="15" w:leftChars="7" w:firstLine="480"/>
        <w:textAlignment w:val="auto"/>
        <w:outlineLvl w:val="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keepNext w:val="0"/>
        <w:keepLines w:val="0"/>
        <w:pageBreakBefore w:val="0"/>
        <w:kinsoku/>
        <w:wordWrap/>
        <w:overflowPunct/>
        <w:topLinePunct w:val="0"/>
        <w:autoSpaceDE/>
        <w:autoSpaceDN/>
        <w:bidi w:val="0"/>
        <w:adjustRightInd w:val="0"/>
        <w:snapToGrid w:val="0"/>
        <w:spacing w:line="360" w:lineRule="auto"/>
        <w:ind w:left="15" w:leftChars="7" w:firstLine="48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keepNext w:val="0"/>
        <w:keepLines w:val="0"/>
        <w:pageBreakBefore w:val="0"/>
        <w:kinsoku/>
        <w:wordWrap/>
        <w:overflowPunct/>
        <w:topLinePunct w:val="0"/>
        <w:autoSpaceDE/>
        <w:autoSpaceDN/>
        <w:bidi w:val="0"/>
        <w:adjustRightInd w:val="0"/>
        <w:snapToGrid w:val="0"/>
        <w:spacing w:line="360" w:lineRule="auto"/>
        <w:ind w:left="15" w:leftChars="7" w:firstLine="403" w:firstLineChars="168"/>
        <w:textAlignment w:val="auto"/>
        <w:outlineLvl w:val="9"/>
        <w:rPr>
          <w:rFonts w:hint="eastAsia" w:ascii="仿宋_GB2312" w:hAnsi="仿宋_GB2312" w:eastAsia="仿宋_GB2312" w:cs="仿宋_GB2312"/>
          <w:sz w:val="24"/>
          <w:szCs w:val="20"/>
          <w:highlight w:val="none"/>
        </w:rPr>
      </w:pPr>
    </w:p>
    <w:p>
      <w:pPr>
        <w:keepNext w:val="0"/>
        <w:keepLines w:val="0"/>
        <w:pageBreakBefore w:val="0"/>
        <w:kinsoku/>
        <w:wordWrap/>
        <w:overflowPunct/>
        <w:topLinePunct w:val="0"/>
        <w:autoSpaceDE/>
        <w:autoSpaceDN/>
        <w:bidi w:val="0"/>
        <w:adjustRightInd w:val="0"/>
        <w:snapToGrid w:val="0"/>
        <w:spacing w:line="360" w:lineRule="auto"/>
        <w:ind w:left="15" w:leftChars="7" w:firstLine="403" w:firstLineChars="168"/>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keepNext w:val="0"/>
        <w:keepLines w:val="0"/>
        <w:pageBreakBefore w:val="0"/>
        <w:kinsoku/>
        <w:wordWrap/>
        <w:overflowPunct/>
        <w:topLinePunct w:val="0"/>
        <w:autoSpaceDE/>
        <w:autoSpaceDN/>
        <w:bidi w:val="0"/>
        <w:adjustRightInd w:val="0"/>
        <w:snapToGrid w:val="0"/>
        <w:spacing w:line="360" w:lineRule="auto"/>
        <w:ind w:left="15" w:leftChars="7" w:firstLine="403" w:firstLineChars="168"/>
        <w:textAlignment w:val="auto"/>
        <w:outlineLvl w:val="9"/>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keepNext w:val="0"/>
        <w:keepLines w:val="0"/>
        <w:pageBreakBefore w:val="0"/>
        <w:kinsoku/>
        <w:wordWrap/>
        <w:overflowPunct/>
        <w:topLinePunct w:val="0"/>
        <w:autoSpaceDE/>
        <w:autoSpaceDN/>
        <w:bidi w:val="0"/>
        <w:adjustRightInd w:val="0"/>
        <w:snapToGrid w:val="0"/>
        <w:spacing w:line="360" w:lineRule="auto"/>
        <w:ind w:left="15" w:leftChars="7" w:firstLine="403" w:firstLineChars="168"/>
        <w:textAlignment w:val="auto"/>
        <w:outlineLvl w:val="9"/>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keepNext w:val="0"/>
        <w:keepLines w:val="0"/>
        <w:pageBreakBefore w:val="0"/>
        <w:kinsoku/>
        <w:wordWrap/>
        <w:overflowPunct/>
        <w:topLinePunct w:val="0"/>
        <w:autoSpaceDE/>
        <w:autoSpaceDN/>
        <w:bidi w:val="0"/>
        <w:adjustRightInd w:val="0"/>
        <w:snapToGrid w:val="0"/>
        <w:spacing w:line="360" w:lineRule="auto"/>
        <w:ind w:left="15" w:leftChars="7" w:firstLine="403" w:firstLineChars="168"/>
        <w:textAlignment w:val="auto"/>
        <w:outlineLvl w:val="9"/>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keepNext w:val="0"/>
        <w:keepLines w:val="0"/>
        <w:pageBreakBefore w:val="0"/>
        <w:kinsoku/>
        <w:wordWrap/>
        <w:overflowPunct/>
        <w:topLinePunct w:val="0"/>
        <w:autoSpaceDE/>
        <w:autoSpaceDN/>
        <w:bidi w:val="0"/>
        <w:adjustRightInd w:val="0"/>
        <w:snapToGrid w:val="0"/>
        <w:spacing w:line="360" w:lineRule="auto"/>
        <w:ind w:left="15" w:leftChars="7" w:firstLine="403" w:firstLineChars="168"/>
        <w:textAlignment w:val="auto"/>
        <w:outlineLvl w:val="9"/>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keepNext w:val="0"/>
        <w:keepLines w:val="0"/>
        <w:pageBreakBefore w:val="0"/>
        <w:kinsoku/>
        <w:wordWrap/>
        <w:overflowPunct/>
        <w:topLinePunct w:val="0"/>
        <w:autoSpaceDE/>
        <w:autoSpaceDN/>
        <w:bidi w:val="0"/>
        <w:adjustRightInd w:val="0"/>
        <w:snapToGrid w:val="0"/>
        <w:spacing w:line="360" w:lineRule="auto"/>
        <w:ind w:left="15" w:leftChars="7" w:firstLine="403" w:firstLineChars="168"/>
        <w:textAlignment w:val="auto"/>
        <w:outlineLvl w:val="9"/>
        <w:rPr>
          <w:rFonts w:hint="eastAsia" w:ascii="仿宋" w:hAnsi="仿宋" w:eastAsia="仿宋" w:cs="仿宋"/>
          <w:sz w:val="24"/>
          <w:highlight w:val="none"/>
        </w:rPr>
      </w:pPr>
      <w:r>
        <w:rPr>
          <w:rFonts w:hint="eastAsia" w:ascii="仿宋_GB2312" w:hAnsi="仿宋_GB2312" w:eastAsia="仿宋_GB2312" w:cs="仿宋_GB2312"/>
          <w:sz w:val="24"/>
          <w:szCs w:val="20"/>
          <w:highlight w:val="none"/>
        </w:rPr>
        <w:t>时间：</w:t>
      </w:r>
    </w:p>
    <w:p>
      <w:pPr>
        <w:keepNext w:val="0"/>
        <w:keepLines w:val="0"/>
        <w:pageBreakBefore w:val="0"/>
        <w:kinsoku/>
        <w:wordWrap/>
        <w:overflowPunct/>
        <w:topLinePunct w:val="0"/>
        <w:autoSpaceDE/>
        <w:autoSpaceDN/>
        <w:bidi w:val="0"/>
        <w:textAlignment w:val="auto"/>
        <w:outlineLvl w:val="9"/>
        <w:rPr>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9"/>
        <w:rPr>
          <w:rFonts w:ascii="宋体" w:hAnsi="宋体" w:cs="宋体"/>
          <w:b/>
          <w:color w:val="auto"/>
          <w:sz w:val="32"/>
          <w:szCs w:val="32"/>
          <w:highlight w:val="none"/>
        </w:rPr>
      </w:pPr>
    </w:p>
    <w:p>
      <w:pPr>
        <w:pStyle w:val="2"/>
        <w:keepNext w:val="0"/>
        <w:keepLines w:val="0"/>
        <w:pageBreakBefore w:val="0"/>
        <w:kinsoku/>
        <w:wordWrap/>
        <w:overflowPunct/>
        <w:topLinePunct w:val="0"/>
        <w:autoSpaceDE/>
        <w:autoSpaceDN/>
        <w:bidi w:val="0"/>
        <w:textAlignment w:val="auto"/>
        <w:outlineLvl w:val="9"/>
        <w:rPr>
          <w:highlight w:val="none"/>
        </w:rPr>
      </w:pPr>
    </w:p>
    <w:p>
      <w:pPr>
        <w:pStyle w:val="2"/>
        <w:keepNext w:val="0"/>
        <w:keepLines w:val="0"/>
        <w:pageBreakBefore w:val="0"/>
        <w:kinsoku/>
        <w:wordWrap/>
        <w:overflowPunct/>
        <w:topLinePunct w:val="0"/>
        <w:autoSpaceDE/>
        <w:autoSpaceDN/>
        <w:bidi w:val="0"/>
        <w:textAlignment w:val="auto"/>
        <w:outlineLvl w:val="9"/>
        <w:rPr>
          <w:highlight w:val="none"/>
        </w:rPr>
        <w:sectPr>
          <w:headerReference r:id="rId16" w:type="default"/>
          <w:footerReference r:id="rId17" w:type="default"/>
          <w:pgSz w:w="11906" w:h="16838"/>
          <w:pgMar w:top="1440" w:right="1474" w:bottom="1440" w:left="1531" w:header="851" w:footer="850" w:gutter="0"/>
          <w:pgNumType w:fmt="decimal"/>
          <w:cols w:space="0" w:num="1"/>
          <w:docGrid w:linePitch="312" w:charSpace="0"/>
        </w:sectPr>
      </w:pPr>
    </w:p>
    <w:p>
      <w:pPr>
        <w:snapToGrid w:val="0"/>
        <w:spacing w:line="360" w:lineRule="auto"/>
        <w:jc w:val="center"/>
        <w:outlineLvl w:val="0"/>
        <w:rPr>
          <w:rFonts w:ascii="宋体" w:hAnsi="宋体" w:cs="宋体"/>
          <w:bCs/>
          <w:color w:val="auto"/>
          <w:sz w:val="32"/>
          <w:szCs w:val="32"/>
          <w:highlight w:val="none"/>
        </w:rPr>
      </w:pPr>
      <w:bookmarkStart w:id="104" w:name="_Toc30929"/>
      <w:bookmarkStart w:id="105" w:name="_Toc8312"/>
      <w:r>
        <w:rPr>
          <w:rFonts w:hint="eastAsia" w:ascii="宋体"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2336;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color w:val="auto"/>
          <w:sz w:val="32"/>
          <w:szCs w:val="32"/>
          <w:highlight w:val="none"/>
        </w:rPr>
        <w:t>第七章</w:t>
      </w:r>
      <w:bookmarkStart w:id="106" w:name="_Toc14891079"/>
      <w:r>
        <w:rPr>
          <w:rFonts w:hint="eastAsia" w:ascii="宋体" w:hAnsi="宋体" w:cs="宋体"/>
          <w:b/>
          <w:color w:val="auto"/>
          <w:sz w:val="32"/>
          <w:szCs w:val="32"/>
          <w:highlight w:val="none"/>
        </w:rPr>
        <w:t xml:space="preserve">  </w:t>
      </w:r>
      <w:r>
        <w:rPr>
          <w:rFonts w:hint="eastAsia" w:ascii="宋体" w:hAnsi="宋体" w:cs="宋体"/>
          <w:b/>
          <w:bCs/>
          <w:color w:val="auto"/>
          <w:sz w:val="32"/>
          <w:szCs w:val="32"/>
          <w:highlight w:val="none"/>
        </w:rPr>
        <w:t>响应文件组成</w:t>
      </w:r>
      <w:bookmarkEnd w:id="71"/>
      <w:bookmarkEnd w:id="72"/>
      <w:bookmarkEnd w:id="73"/>
      <w:bookmarkEnd w:id="104"/>
      <w:bookmarkEnd w:id="105"/>
      <w:bookmarkEnd w:id="106"/>
    </w:p>
    <w:p>
      <w:pPr>
        <w:spacing w:line="360" w:lineRule="auto"/>
        <w:rPr>
          <w:rFonts w:ascii="宋体" w:hAnsi="宋体" w:cs="宋体"/>
          <w:b/>
          <w:bCs/>
          <w:color w:val="auto"/>
          <w:sz w:val="52"/>
          <w:szCs w:val="52"/>
          <w:highlight w:val="none"/>
        </w:rPr>
      </w:pPr>
    </w:p>
    <w:p>
      <w:pPr>
        <w:pStyle w:val="2"/>
        <w:spacing w:line="360" w:lineRule="auto"/>
        <w:rPr>
          <w:rFonts w:ascii="宋体" w:hAnsi="宋体" w:cs="宋体"/>
          <w:color w:val="auto"/>
          <w:highlight w:val="none"/>
        </w:rPr>
      </w:pPr>
    </w:p>
    <w:p>
      <w:pPr>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自主竞争性谈判</w:t>
      </w:r>
    </w:p>
    <w:p>
      <w:pPr>
        <w:adjustRightInd w:val="0"/>
        <w:snapToGrid w:val="0"/>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响应文件</w:t>
      </w:r>
    </w:p>
    <w:p>
      <w:pPr>
        <w:spacing w:line="360" w:lineRule="auto"/>
        <w:rPr>
          <w:rFonts w:ascii="宋体" w:hAnsi="宋体" w:cs="宋体"/>
          <w:color w:val="auto"/>
          <w:sz w:val="28"/>
          <w:szCs w:val="28"/>
          <w:highlight w:val="none"/>
        </w:rPr>
      </w:pPr>
    </w:p>
    <w:p>
      <w:pPr>
        <w:pStyle w:val="26"/>
        <w:rPr>
          <w:rFonts w:hAnsi="宋体" w:cs="宋体"/>
          <w:b/>
          <w:color w:val="auto"/>
          <w:sz w:val="32"/>
          <w:szCs w:val="32"/>
          <w:highlight w:val="none"/>
        </w:rPr>
      </w:pPr>
    </w:p>
    <w:p>
      <w:pPr>
        <w:pStyle w:val="26"/>
        <w:adjustRightInd w:val="0"/>
        <w:snapToGrid w:val="0"/>
        <w:spacing w:line="360" w:lineRule="auto"/>
        <w:ind w:firstLine="1285" w:firstLineChars="400"/>
        <w:rPr>
          <w:rFonts w:hAnsi="宋体" w:cs="宋体"/>
          <w:b/>
          <w:bCs/>
          <w:color w:val="auto"/>
          <w:sz w:val="32"/>
          <w:szCs w:val="32"/>
          <w:highlight w:val="none"/>
          <w:u w:val="single"/>
        </w:rPr>
      </w:pPr>
      <w:r>
        <w:rPr>
          <w:rFonts w:hint="eastAsia" w:hAnsi="宋体" w:cs="宋体"/>
          <w:b/>
          <w:bCs/>
          <w:color w:val="auto"/>
          <w:sz w:val="32"/>
          <w:szCs w:val="32"/>
          <w:highlight w:val="none"/>
        </w:rPr>
        <w:t>谈判项目名称：</w:t>
      </w:r>
      <w:r>
        <w:rPr>
          <w:rFonts w:hint="eastAsia" w:hAnsi="宋体" w:cs="宋体"/>
          <w:b/>
          <w:bCs/>
          <w:color w:val="auto"/>
          <w:sz w:val="32"/>
          <w:szCs w:val="32"/>
          <w:highlight w:val="none"/>
          <w:u w:val="single"/>
        </w:rPr>
        <w:t xml:space="preserve">                      </w:t>
      </w: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firstLine="1285" w:firstLineChars="400"/>
        <w:rPr>
          <w:rFonts w:hAnsi="宋体" w:cs="宋体"/>
          <w:b/>
          <w:bCs/>
          <w:color w:val="auto"/>
          <w:sz w:val="32"/>
          <w:szCs w:val="32"/>
          <w:highlight w:val="none"/>
          <w:u w:val="single"/>
        </w:rPr>
      </w:pPr>
      <w:r>
        <w:rPr>
          <w:rFonts w:hint="eastAsia" w:hAnsi="宋体" w:cs="宋体"/>
          <w:b/>
          <w:bCs/>
          <w:color w:val="auto"/>
          <w:sz w:val="32"/>
          <w:szCs w:val="32"/>
          <w:highlight w:val="none"/>
        </w:rPr>
        <w:t>谈判单位名称：</w:t>
      </w:r>
      <w:r>
        <w:rPr>
          <w:rFonts w:hint="eastAsia" w:hAnsi="宋体" w:cs="宋体"/>
          <w:b/>
          <w:bCs/>
          <w:color w:val="auto"/>
          <w:sz w:val="32"/>
          <w:szCs w:val="32"/>
          <w:highlight w:val="none"/>
          <w:u w:val="single"/>
        </w:rPr>
        <w:t xml:space="preserve">      （加盖单位公章）</w:t>
      </w: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firstLine="1285" w:firstLineChars="400"/>
        <w:rPr>
          <w:rFonts w:hAnsi="宋体" w:cs="宋体"/>
          <w:b/>
          <w:bCs/>
          <w:color w:val="auto"/>
          <w:sz w:val="32"/>
          <w:szCs w:val="32"/>
          <w:highlight w:val="none"/>
          <w:u w:val="single"/>
        </w:rPr>
      </w:pPr>
      <w:r>
        <w:rPr>
          <w:rFonts w:hint="eastAsia" w:hAnsi="宋体" w:cs="宋体"/>
          <w:b/>
          <w:bCs/>
          <w:color w:val="auto"/>
          <w:sz w:val="32"/>
          <w:szCs w:val="32"/>
          <w:highlight w:val="none"/>
        </w:rPr>
        <w:t>谈判项目编号：</w:t>
      </w:r>
      <w:r>
        <w:rPr>
          <w:rFonts w:hint="eastAsia" w:hAnsi="宋体" w:cs="宋体"/>
          <w:b/>
          <w:bCs/>
          <w:color w:val="auto"/>
          <w:sz w:val="32"/>
          <w:szCs w:val="32"/>
          <w:highlight w:val="none"/>
          <w:u w:val="single"/>
        </w:rPr>
        <w:t xml:space="preserve">                      </w:t>
      </w: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ind w:left="846" w:leftChars="403" w:firstLine="157" w:firstLineChars="49"/>
        <w:rPr>
          <w:rFonts w:hAnsi="宋体" w:cs="宋体"/>
          <w:b/>
          <w:bCs/>
          <w:color w:val="auto"/>
          <w:sz w:val="32"/>
          <w:szCs w:val="32"/>
          <w:highlight w:val="none"/>
          <w:u w:val="single"/>
        </w:rPr>
      </w:pPr>
    </w:p>
    <w:p>
      <w:pPr>
        <w:pStyle w:val="26"/>
        <w:adjustRightInd w:val="0"/>
        <w:snapToGrid w:val="0"/>
        <w:spacing w:line="360" w:lineRule="auto"/>
        <w:rPr>
          <w:rFonts w:hAnsi="宋体" w:cs="宋体"/>
          <w:b/>
          <w:bCs/>
          <w:color w:val="auto"/>
          <w:sz w:val="32"/>
          <w:szCs w:val="32"/>
          <w:highlight w:val="none"/>
          <w:u w:val="single"/>
        </w:rPr>
      </w:pPr>
    </w:p>
    <w:p>
      <w:pPr>
        <w:pStyle w:val="26"/>
        <w:adjustRightInd w:val="0"/>
        <w:snapToGrid w:val="0"/>
        <w:spacing w:line="360" w:lineRule="auto"/>
        <w:jc w:val="center"/>
        <w:rPr>
          <w:rFonts w:hAnsi="宋体" w:cs="宋体"/>
          <w:color w:val="auto"/>
          <w:highlight w:val="none"/>
        </w:rPr>
      </w:pPr>
      <w:r>
        <w:rPr>
          <w:rFonts w:hint="eastAsia" w:hAnsi="宋体" w:cs="宋体"/>
          <w:b/>
          <w:bCs/>
          <w:color w:val="auto"/>
          <w:sz w:val="32"/>
          <w:szCs w:val="32"/>
          <w:highlight w:val="none"/>
        </w:rPr>
        <w:t>日  期：</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年</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月</w:t>
      </w:r>
      <w:r>
        <w:rPr>
          <w:rFonts w:hint="eastAsia" w:hAnsi="宋体" w:cs="宋体"/>
          <w:b/>
          <w:bCs/>
          <w:color w:val="auto"/>
          <w:sz w:val="32"/>
          <w:szCs w:val="32"/>
          <w:highlight w:val="none"/>
          <w:u w:val="single"/>
        </w:rPr>
        <w:t xml:space="preserve">  </w:t>
      </w:r>
      <w:r>
        <w:rPr>
          <w:rFonts w:hint="eastAsia" w:hAnsi="宋体" w:cs="宋体"/>
          <w:b/>
          <w:bCs/>
          <w:color w:val="auto"/>
          <w:sz w:val="32"/>
          <w:szCs w:val="32"/>
          <w:highlight w:val="none"/>
        </w:rPr>
        <w:t>日</w:t>
      </w:r>
    </w:p>
    <w:p>
      <w:pPr>
        <w:spacing w:line="360" w:lineRule="exact"/>
        <w:rPr>
          <w:rFonts w:ascii="宋体" w:hAnsi="宋体" w:cs="宋体"/>
          <w:b/>
          <w:color w:val="auto"/>
          <w:highlight w:val="none"/>
        </w:rPr>
      </w:pPr>
    </w:p>
    <w:p>
      <w:pPr>
        <w:adjustRightInd w:val="0"/>
        <w:snapToGrid w:val="0"/>
        <w:spacing w:line="360" w:lineRule="auto"/>
        <w:jc w:val="center"/>
        <w:outlineLvl w:val="0"/>
        <w:rPr>
          <w:rFonts w:ascii="宋体" w:hAnsi="宋体" w:cs="宋体"/>
          <w:b/>
          <w:color w:val="auto"/>
          <w:sz w:val="32"/>
          <w:szCs w:val="32"/>
          <w:highlight w:val="none"/>
        </w:rPr>
        <w:sectPr>
          <w:pgSz w:w="11906" w:h="16838"/>
          <w:pgMar w:top="1440" w:right="1474" w:bottom="1440" w:left="1531" w:header="851" w:footer="850" w:gutter="0"/>
          <w:pgNumType w:fmt="decimal"/>
          <w:cols w:space="0" w:num="1"/>
          <w:docGrid w:linePitch="312" w:charSpace="0"/>
        </w:sectPr>
      </w:pPr>
    </w:p>
    <w:p>
      <w:pPr>
        <w:widowControl/>
        <w:spacing w:line="360" w:lineRule="auto"/>
        <w:jc w:val="center"/>
        <w:rPr>
          <w:rFonts w:ascii="宋体" w:hAnsi="宋体" w:cs="宋体"/>
          <w:b/>
          <w:bCs/>
          <w:color w:val="auto"/>
          <w:sz w:val="32"/>
          <w:szCs w:val="32"/>
          <w:highlight w:val="none"/>
        </w:rPr>
      </w:pPr>
      <w:r>
        <w:rPr>
          <w:rFonts w:hint="eastAsia" w:ascii="宋体" w:hAnsi="宋体" w:cs="宋体"/>
          <w:b/>
          <w:color w:val="auto"/>
          <w:sz w:val="32"/>
          <w:szCs w:val="32"/>
          <w:highlight w:val="none"/>
        </w:rPr>
        <w:t>目   录</w:t>
      </w:r>
    </w:p>
    <w:p>
      <w:pPr>
        <w:adjustRightInd w:val="0"/>
        <w:snapToGrid w:val="0"/>
        <w:spacing w:line="360" w:lineRule="auto"/>
        <w:ind w:firstLine="480" w:firstLineChars="200"/>
        <w:rPr>
          <w:rFonts w:ascii="宋体" w:hAnsi="宋体" w:cs="宋体"/>
          <w:color w:val="auto"/>
          <w:sz w:val="24"/>
          <w:highlight w:val="none"/>
        </w:rPr>
      </w:pP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一、谈判承诺书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二、法定代表人身份证明书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三、授权委托书</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四、谈判单位资格条件证明文件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五、不拖欠农民工工资承诺书</w:t>
      </w:r>
    </w:p>
    <w:p>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六、</w:t>
      </w:r>
      <w:r>
        <w:rPr>
          <w:rFonts w:hint="eastAsia" w:ascii="宋体" w:hAnsi="宋体" w:cs="宋体"/>
          <w:color w:val="auto"/>
          <w:szCs w:val="21"/>
          <w:highlight w:val="none"/>
          <w:lang w:eastAsia="zh-CN"/>
        </w:rPr>
        <w:t>商务详细评审证明文件</w:t>
      </w:r>
    </w:p>
    <w:p>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七</w:t>
      </w:r>
      <w:r>
        <w:rPr>
          <w:rFonts w:hint="eastAsia" w:ascii="宋体" w:hAnsi="宋体" w:cs="宋体"/>
          <w:color w:val="auto"/>
          <w:szCs w:val="21"/>
          <w:highlight w:val="none"/>
        </w:rPr>
        <w:t>、</w:t>
      </w:r>
      <w:r>
        <w:rPr>
          <w:rFonts w:hint="eastAsia" w:ascii="宋体" w:hAnsi="宋体" w:cs="宋体"/>
          <w:color w:val="auto"/>
          <w:szCs w:val="21"/>
          <w:highlight w:val="none"/>
          <w:lang w:eastAsia="zh-CN"/>
        </w:rPr>
        <w:t>技术详细评审证明文件</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八、</w:t>
      </w:r>
      <w:r>
        <w:rPr>
          <w:rFonts w:hint="eastAsia" w:ascii="宋体" w:hAnsi="宋体" w:cs="宋体"/>
          <w:color w:val="auto"/>
          <w:szCs w:val="21"/>
          <w:highlight w:val="none"/>
        </w:rPr>
        <w:t>报价一览表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九</w:t>
      </w:r>
      <w:r>
        <w:rPr>
          <w:rFonts w:hint="eastAsia" w:ascii="宋体" w:hAnsi="宋体" w:cs="宋体"/>
          <w:color w:val="auto"/>
          <w:szCs w:val="21"/>
          <w:highlight w:val="none"/>
        </w:rPr>
        <w:t>、</w:t>
      </w:r>
      <w:r>
        <w:rPr>
          <w:rFonts w:hint="eastAsia" w:ascii="宋体" w:hAnsi="宋体" w:cs="宋体"/>
          <w:color w:val="auto"/>
          <w:szCs w:val="21"/>
          <w:highlight w:val="none"/>
          <w:lang w:eastAsia="zh-CN"/>
        </w:rPr>
        <w:t>谈判</w:t>
      </w:r>
      <w:r>
        <w:rPr>
          <w:rFonts w:hint="eastAsia" w:ascii="宋体" w:hAnsi="宋体" w:cs="宋体"/>
          <w:color w:val="auto"/>
          <w:szCs w:val="21"/>
          <w:highlight w:val="none"/>
        </w:rPr>
        <w:t>报价表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十</w:t>
      </w:r>
      <w:r>
        <w:rPr>
          <w:rFonts w:hint="eastAsia" w:ascii="宋体" w:hAnsi="宋体" w:cs="宋体"/>
          <w:color w:val="auto"/>
          <w:szCs w:val="21"/>
          <w:highlight w:val="none"/>
        </w:rPr>
        <w:t>、其他资料（如有）</w:t>
      </w:r>
    </w:p>
    <w:p>
      <w:pPr>
        <w:ind w:firstLine="480" w:firstLineChars="200"/>
        <w:jc w:val="center"/>
        <w:outlineLvl w:val="1"/>
        <w:rPr>
          <w:rFonts w:ascii="宋体" w:hAnsi="宋体" w:cs="宋体"/>
          <w:b/>
          <w:color w:val="auto"/>
          <w:sz w:val="32"/>
          <w:szCs w:val="32"/>
          <w:highlight w:val="none"/>
        </w:rPr>
      </w:pPr>
      <w:r>
        <w:rPr>
          <w:rFonts w:hint="eastAsia" w:ascii="宋体" w:hAnsi="宋体" w:cs="宋体"/>
          <w:color w:val="auto"/>
          <w:sz w:val="24"/>
          <w:highlight w:val="none"/>
        </w:rPr>
        <w:br w:type="page"/>
      </w:r>
      <w:bookmarkStart w:id="107" w:name="_Toc1578"/>
      <w:bookmarkStart w:id="108" w:name="_Toc14530"/>
      <w:bookmarkStart w:id="109" w:name="_Toc32569"/>
      <w:bookmarkStart w:id="110" w:name="_Toc32600"/>
      <w:bookmarkStart w:id="111" w:name="_Toc2896"/>
      <w:r>
        <w:rPr>
          <w:rFonts w:hint="eastAsia" w:ascii="宋体" w:hAnsi="宋体" w:cs="宋体"/>
          <w:b/>
          <w:color w:val="auto"/>
          <w:sz w:val="32"/>
          <w:szCs w:val="32"/>
          <w:highlight w:val="none"/>
        </w:rPr>
        <w:t>一、谈判承诺书</w:t>
      </w:r>
      <w:bookmarkEnd w:id="107"/>
      <w:bookmarkEnd w:id="108"/>
      <w:bookmarkEnd w:id="109"/>
      <w:bookmarkEnd w:id="110"/>
      <w:bookmarkEnd w:id="111"/>
    </w:p>
    <w:p>
      <w:pPr>
        <w:adjustRightInd w:val="0"/>
        <w:snapToGrid w:val="0"/>
        <w:spacing w:line="400" w:lineRule="exact"/>
        <w:rPr>
          <w:rFonts w:ascii="宋体" w:hAnsi="宋体" w:cs="宋体"/>
          <w:color w:val="auto"/>
          <w:szCs w:val="21"/>
          <w:highlight w:val="none"/>
        </w:rPr>
      </w:pPr>
    </w:p>
    <w:p>
      <w:pPr>
        <w:adjustRightInd w:val="0"/>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致</w:t>
      </w:r>
      <w:r>
        <w:rPr>
          <w:rFonts w:hint="eastAsia" w:ascii="Times New Roman" w:hAnsi="Times New Roman" w:eastAsia="宋体" w:cs="Times New Roman"/>
          <w:color w:val="000000"/>
          <w:kern w:val="2"/>
          <w:sz w:val="21"/>
          <w:szCs w:val="21"/>
          <w:highlight w:val="none"/>
          <w:u w:val="single"/>
          <w:lang w:val="en-US" w:eastAsia="zh-CN" w:bidi="ar-SA"/>
        </w:rPr>
        <w:t>长沙市轨道交通运营有限公司</w:t>
      </w:r>
      <w:r>
        <w:rPr>
          <w:rFonts w:hint="eastAsia" w:ascii="宋体" w:hAnsi="宋体" w:cs="宋体"/>
          <w:color w:val="auto"/>
          <w:szCs w:val="21"/>
          <w:highlight w:val="none"/>
        </w:rPr>
        <w:t>：</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我方已仔细研究了</w:t>
      </w:r>
      <w:r>
        <w:rPr>
          <w:rFonts w:hint="eastAsia" w:ascii="Times New Roman" w:hAnsi="Times New Roman" w:eastAsia="宋体" w:cs="Times New Roman"/>
          <w:color w:val="000000"/>
          <w:kern w:val="2"/>
          <w:sz w:val="21"/>
          <w:szCs w:val="21"/>
          <w:highlight w:val="none"/>
          <w:u w:val="single"/>
          <w:lang w:val="en-US" w:eastAsia="zh-CN" w:bidi="ar-SA"/>
        </w:rPr>
        <w:t>长沙市轨道交通2号线一期工程运营期车站出入口硅纤板改造工程项目</w:t>
      </w:r>
      <w:r>
        <w:rPr>
          <w:rFonts w:hint="eastAsia" w:ascii="宋体" w:hAnsi="宋体"/>
          <w:color w:val="auto"/>
          <w:szCs w:val="21"/>
          <w:highlight w:val="none"/>
        </w:rPr>
        <w:t>的竞争性谈判文件（谈判项目编号：</w:t>
      </w:r>
      <w:r>
        <w:rPr>
          <w:rFonts w:hint="eastAsia" w:ascii="Times New Roman" w:hAnsi="Times New Roman" w:eastAsia="宋体" w:cs="Times New Roman"/>
          <w:color w:val="000000"/>
          <w:kern w:val="2"/>
          <w:sz w:val="21"/>
          <w:szCs w:val="21"/>
          <w:highlight w:val="none"/>
          <w:u w:val="single"/>
          <w:lang w:val="en-US" w:eastAsia="zh-CN" w:bidi="ar-SA"/>
        </w:rPr>
        <w:t>长轨运工采【2023】001号</w:t>
      </w:r>
      <w:r>
        <w:rPr>
          <w:rFonts w:hint="eastAsia" w:ascii="宋体" w:hAnsi="宋体"/>
          <w:color w:val="auto"/>
          <w:szCs w:val="21"/>
          <w:highlight w:val="none"/>
        </w:rPr>
        <w:t>）的全部内容，</w:t>
      </w:r>
      <w:r>
        <w:rPr>
          <w:rFonts w:hint="eastAsia" w:hAnsi="宋体"/>
          <w:color w:val="auto"/>
          <w:szCs w:val="21"/>
          <w:highlight w:val="none"/>
        </w:rPr>
        <w:t>知悉参加竞争性谈判的风险，我方承诺接受谈判文件的全部条款且无任何异议。</w:t>
      </w:r>
    </w:p>
    <w:p>
      <w:pPr>
        <w:pStyle w:val="26"/>
        <w:numPr>
          <w:ilvl w:val="0"/>
          <w:numId w:val="18"/>
        </w:numPr>
        <w:adjustRightInd w:val="0"/>
        <w:snapToGrid w:val="0"/>
        <w:spacing w:line="400" w:lineRule="exact"/>
        <w:rPr>
          <w:rFonts w:hAnsi="宋体"/>
          <w:color w:val="auto"/>
          <w:highlight w:val="none"/>
        </w:rPr>
      </w:pPr>
      <w:r>
        <w:rPr>
          <w:rFonts w:hint="eastAsia"/>
          <w:color w:val="auto"/>
          <w:highlight w:val="none"/>
        </w:rPr>
        <w:t>参与本项目竞争性谈判活动系本公司自愿行为。</w:t>
      </w:r>
    </w:p>
    <w:p>
      <w:pPr>
        <w:pStyle w:val="26"/>
        <w:numPr>
          <w:ilvl w:val="0"/>
          <w:numId w:val="18"/>
        </w:numPr>
        <w:adjustRightInd w:val="0"/>
        <w:snapToGrid w:val="0"/>
        <w:spacing w:line="400" w:lineRule="exact"/>
        <w:rPr>
          <w:color w:val="auto"/>
          <w:highlight w:val="none"/>
        </w:rPr>
      </w:pPr>
      <w:r>
        <w:rPr>
          <w:rFonts w:hint="eastAsia"/>
          <w:color w:val="auto"/>
          <w:highlight w:val="none"/>
        </w:rPr>
        <w:t>我方同意在谈判文件中规定的提交响应文件截止时间起</w:t>
      </w:r>
      <w:r>
        <w:rPr>
          <w:rFonts w:hint="eastAsia"/>
          <w:color w:val="auto"/>
          <w:highlight w:val="none"/>
          <w:u w:val="single"/>
        </w:rPr>
        <w:t>180</w:t>
      </w:r>
      <w:r>
        <w:rPr>
          <w:rFonts w:hint="eastAsia"/>
          <w:color w:val="auto"/>
          <w:highlight w:val="none"/>
        </w:rPr>
        <w:t>日历天内(响应文件有效期)遵守本响应文件中的承诺且在此期限期满之前均具有法律约束力。</w:t>
      </w:r>
    </w:p>
    <w:p>
      <w:pPr>
        <w:pStyle w:val="26"/>
        <w:numPr>
          <w:ilvl w:val="0"/>
          <w:numId w:val="18"/>
        </w:numPr>
        <w:adjustRightInd w:val="0"/>
        <w:snapToGrid w:val="0"/>
        <w:spacing w:line="400" w:lineRule="exact"/>
        <w:rPr>
          <w:color w:val="auto"/>
          <w:highlight w:val="none"/>
        </w:rPr>
      </w:pPr>
      <w:r>
        <w:rPr>
          <w:rFonts w:hint="eastAsia"/>
          <w:color w:val="auto"/>
          <w:highlight w:val="none"/>
        </w:rPr>
        <w:t>我方提交的响应文件均为</w:t>
      </w:r>
      <w:r>
        <w:rPr>
          <w:rFonts w:hint="eastAsia"/>
          <w:b/>
          <w:bCs/>
          <w:color w:val="auto"/>
          <w:highlight w:val="none"/>
        </w:rPr>
        <w:t>正本一份和副本两份</w:t>
      </w:r>
      <w:r>
        <w:rPr>
          <w:rFonts w:hint="eastAsia"/>
          <w:color w:val="auto"/>
          <w:highlight w:val="none"/>
        </w:rPr>
        <w:t>，电子文件（包括响应文件全部内容）一份，并保证响应文件提供的数据和材料是真实、准确的，</w:t>
      </w:r>
      <w:r>
        <w:rPr>
          <w:rFonts w:hint="eastAsia"/>
          <w:b/>
          <w:bCs/>
          <w:color w:val="auto"/>
          <w:highlight w:val="none"/>
        </w:rPr>
        <w:t>均无复制、粘贴之情形，且无低于成本的恶意报价行为</w:t>
      </w:r>
      <w:r>
        <w:rPr>
          <w:rFonts w:hint="eastAsia"/>
          <w:color w:val="auto"/>
          <w:highlight w:val="none"/>
        </w:rPr>
        <w:t>。否则，愿承担由此引起的一切法律责任。</w:t>
      </w:r>
    </w:p>
    <w:p>
      <w:pPr>
        <w:pStyle w:val="26"/>
        <w:numPr>
          <w:ilvl w:val="0"/>
          <w:numId w:val="18"/>
        </w:numPr>
        <w:adjustRightInd w:val="0"/>
        <w:snapToGrid w:val="0"/>
        <w:spacing w:line="400" w:lineRule="exact"/>
        <w:rPr>
          <w:color w:val="auto"/>
          <w:highlight w:val="none"/>
        </w:rPr>
      </w:pPr>
      <w:r>
        <w:rPr>
          <w:rFonts w:hint="eastAsia"/>
          <w:color w:val="auto"/>
          <w:highlight w:val="none"/>
        </w:rPr>
        <w:t>遵守贵司各项管理制度和谈判现场纪律，服从现场工作人员管理，自觉维护贵司谈判活动秩序。</w:t>
      </w:r>
    </w:p>
    <w:p>
      <w:pPr>
        <w:pStyle w:val="26"/>
        <w:numPr>
          <w:ilvl w:val="0"/>
          <w:numId w:val="18"/>
        </w:numPr>
        <w:adjustRightInd w:val="0"/>
        <w:snapToGrid w:val="0"/>
        <w:spacing w:line="400" w:lineRule="exact"/>
        <w:rPr>
          <w:color w:val="auto"/>
          <w:highlight w:val="none"/>
        </w:rPr>
      </w:pPr>
      <w:r>
        <w:rPr>
          <w:rFonts w:hint="eastAsia"/>
          <w:color w:val="auto"/>
          <w:highlight w:val="none"/>
        </w:rPr>
        <w:t>保证没有组织、参与围标、串标行为。</w:t>
      </w:r>
    </w:p>
    <w:p>
      <w:pPr>
        <w:pStyle w:val="26"/>
        <w:numPr>
          <w:ilvl w:val="0"/>
          <w:numId w:val="18"/>
        </w:numPr>
        <w:adjustRightInd w:val="0"/>
        <w:snapToGrid w:val="0"/>
        <w:spacing w:line="400" w:lineRule="exact"/>
        <w:rPr>
          <w:color w:val="auto"/>
          <w:highlight w:val="none"/>
        </w:rPr>
      </w:pPr>
      <w:r>
        <w:rPr>
          <w:rFonts w:hint="eastAsia"/>
          <w:color w:val="auto"/>
          <w:highlight w:val="none"/>
        </w:rPr>
        <w:t>不与采购单位或谈判评审小组成员私下联络和串通以牟取中选；不以他人名义参与谈判或者以其他方式弄虚作假骗取中选；不在谈判结束后进行虚假、恶意质疑和投诉。</w:t>
      </w:r>
    </w:p>
    <w:p>
      <w:pPr>
        <w:pStyle w:val="26"/>
        <w:numPr>
          <w:ilvl w:val="0"/>
          <w:numId w:val="18"/>
        </w:numPr>
        <w:adjustRightInd w:val="0"/>
        <w:snapToGrid w:val="0"/>
        <w:spacing w:line="400" w:lineRule="exact"/>
        <w:rPr>
          <w:color w:val="auto"/>
          <w:highlight w:val="none"/>
        </w:rPr>
      </w:pPr>
      <w:r>
        <w:rPr>
          <w:rFonts w:hint="eastAsia"/>
          <w:color w:val="auto"/>
          <w:highlight w:val="none"/>
        </w:rPr>
        <w:t>我方承诺为本项目拟配备人员均满足技术标准及要求且均为我方正式在职人员。若拟配备人员不满足技术标准及要求或证件造假或非我方正式在职人员，视为虚假响应，贵方有权取消我方谈判资格；如已中选，贵方有权取消我方中选供应商资格。</w:t>
      </w:r>
    </w:p>
    <w:p>
      <w:pPr>
        <w:pStyle w:val="26"/>
        <w:numPr>
          <w:ilvl w:val="0"/>
          <w:numId w:val="18"/>
        </w:numPr>
        <w:adjustRightInd w:val="0"/>
        <w:snapToGrid w:val="0"/>
        <w:spacing w:line="400" w:lineRule="exact"/>
        <w:rPr>
          <w:color w:val="auto"/>
          <w:highlight w:val="none"/>
        </w:rPr>
      </w:pPr>
      <w:r>
        <w:rPr>
          <w:rFonts w:hint="eastAsia"/>
          <w:color w:val="auto"/>
          <w:highlight w:val="none"/>
        </w:rPr>
        <w:t>我方承诺，若贵方需要，我方愿意提供任何与本次谈判有关的数据、情况和技术资料。</w:t>
      </w:r>
    </w:p>
    <w:p>
      <w:pPr>
        <w:pStyle w:val="26"/>
        <w:numPr>
          <w:ilvl w:val="0"/>
          <w:numId w:val="18"/>
        </w:numPr>
        <w:adjustRightInd w:val="0"/>
        <w:snapToGrid w:val="0"/>
        <w:spacing w:line="400" w:lineRule="exact"/>
        <w:rPr>
          <w:color w:val="auto"/>
          <w:highlight w:val="none"/>
        </w:rPr>
      </w:pPr>
      <w:r>
        <w:rPr>
          <w:rFonts w:hint="eastAsia"/>
          <w:color w:val="auto"/>
          <w:highlight w:val="none"/>
        </w:rPr>
        <w:t>我方承诺遵守相关法律法规及贵司的有关规定，保证在获得成交资格后，按照谈判文件确定的事项签订合同，履行双方所签订的合同，并承担合同规定的责任和义务。</w:t>
      </w:r>
    </w:p>
    <w:p>
      <w:pPr>
        <w:pStyle w:val="26"/>
        <w:numPr>
          <w:ilvl w:val="0"/>
          <w:numId w:val="18"/>
        </w:numPr>
        <w:adjustRightInd w:val="0"/>
        <w:snapToGrid w:val="0"/>
        <w:spacing w:line="400" w:lineRule="exact"/>
        <w:rPr>
          <w:color w:val="auto"/>
          <w:highlight w:val="none"/>
        </w:rPr>
      </w:pPr>
      <w:r>
        <w:rPr>
          <w:rFonts w:hint="eastAsia"/>
          <w:color w:val="auto"/>
          <w:highlight w:val="none"/>
        </w:rPr>
        <w:t>我方承诺在参与本次竞争性谈判过程中，若出现本文件</w:t>
      </w:r>
      <w:r>
        <w:rPr>
          <w:rFonts w:hint="eastAsia"/>
          <w:b/>
          <w:bCs/>
          <w:color w:val="auto"/>
          <w:highlight w:val="none"/>
        </w:rPr>
        <w:t>谈判须知正文</w:t>
      </w:r>
      <w:r>
        <w:rPr>
          <w:rFonts w:hint="eastAsia"/>
          <w:color w:val="auto"/>
          <w:highlight w:val="none"/>
        </w:rPr>
        <w:t>第26条规定之情形，我方无条件接受条款规定作出的处罚。</w:t>
      </w:r>
    </w:p>
    <w:p>
      <w:pPr>
        <w:pStyle w:val="26"/>
        <w:numPr>
          <w:ilvl w:val="0"/>
          <w:numId w:val="18"/>
        </w:numPr>
        <w:adjustRightInd w:val="0"/>
        <w:snapToGrid w:val="0"/>
        <w:spacing w:line="400" w:lineRule="exact"/>
        <w:rPr>
          <w:color w:val="auto"/>
          <w:highlight w:val="none"/>
        </w:rPr>
      </w:pPr>
      <w:r>
        <w:rPr>
          <w:rFonts w:hint="eastAsia"/>
          <w:color w:val="auto"/>
          <w:highlight w:val="none"/>
        </w:rPr>
        <w:t>我方承诺完全响应本文件第四章“用户需求书”及第六章“合同格式条款”内的全部内容。</w:t>
      </w:r>
    </w:p>
    <w:p>
      <w:pPr>
        <w:pStyle w:val="26"/>
        <w:numPr>
          <w:ilvl w:val="0"/>
          <w:numId w:val="18"/>
        </w:numPr>
        <w:adjustRightInd w:val="0"/>
        <w:snapToGrid w:val="0"/>
        <w:spacing w:line="400" w:lineRule="exact"/>
        <w:rPr>
          <w:color w:val="auto"/>
          <w:highlight w:val="none"/>
        </w:rPr>
      </w:pPr>
      <w:r>
        <w:rPr>
          <w:rFonts w:hint="eastAsia"/>
          <w:color w:val="auto"/>
          <w:highlight w:val="none"/>
        </w:rPr>
        <w:t>如有违反本承诺书内容的行为，愿意承担由此产生的法律责任及后果。</w:t>
      </w:r>
    </w:p>
    <w:p>
      <w:pPr>
        <w:adjustRightInd w:val="0"/>
        <w:snapToGrid w:val="0"/>
        <w:spacing w:line="400" w:lineRule="exact"/>
        <w:ind w:right="24"/>
        <w:rPr>
          <w:rFonts w:ascii="宋体" w:hAnsi="宋体" w:cs="宋体"/>
          <w:bCs/>
          <w:color w:val="auto"/>
          <w:szCs w:val="21"/>
          <w:highlight w:val="none"/>
        </w:rPr>
      </w:pPr>
    </w:p>
    <w:p>
      <w:pPr>
        <w:spacing w:line="400" w:lineRule="exact"/>
        <w:rPr>
          <w:rFonts w:ascii="宋体" w:hAnsi="宋体" w:cs="宋体"/>
          <w:color w:val="auto"/>
          <w:szCs w:val="21"/>
          <w:highlight w:val="none"/>
          <w:u w:val="single"/>
        </w:rPr>
      </w:pPr>
      <w:r>
        <w:rPr>
          <w:rFonts w:hint="eastAsia" w:ascii="宋体" w:hAnsi="宋体" w:cs="宋体"/>
          <w:color w:val="auto"/>
          <w:szCs w:val="21"/>
          <w:highlight w:val="none"/>
        </w:rPr>
        <w:t>谈判单位名称：</w:t>
      </w:r>
      <w:r>
        <w:rPr>
          <w:rFonts w:hint="eastAsia" w:ascii="宋体" w:hAnsi="宋体" w:cs="宋体"/>
          <w:color w:val="auto"/>
          <w:szCs w:val="21"/>
          <w:highlight w:val="none"/>
          <w:u w:val="single"/>
        </w:rPr>
        <w:t xml:space="preserve">    （盖单位章）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法定代表人(签字或盖章)：</w:t>
      </w:r>
      <w:r>
        <w:rPr>
          <w:rFonts w:hint="eastAsia" w:ascii="宋体" w:hAnsi="宋体" w:cs="宋体"/>
          <w:color w:val="auto"/>
          <w:szCs w:val="21"/>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ascii="宋体" w:hAnsi="宋体" w:cs="宋体"/>
          <w:bCs/>
          <w:color w:val="auto"/>
          <w:szCs w:val="21"/>
          <w:highlight w:val="none"/>
        </w:rPr>
      </w:pPr>
      <w:r>
        <w:rPr>
          <w:rFonts w:ascii="宋体" w:hAnsi="宋体" w:cs="宋体"/>
          <w:bCs/>
          <w:color w:val="auto"/>
          <w:szCs w:val="21"/>
          <w:highlight w:val="none"/>
        </w:rPr>
        <w:br w:type="page"/>
      </w:r>
    </w:p>
    <w:p>
      <w:pPr>
        <w:adjustRightInd w:val="0"/>
        <w:snapToGrid w:val="0"/>
        <w:spacing w:line="360" w:lineRule="auto"/>
        <w:ind w:right="24"/>
        <w:jc w:val="center"/>
        <w:outlineLvl w:val="1"/>
        <w:rPr>
          <w:rFonts w:ascii="宋体" w:hAnsi="宋体" w:cs="宋体"/>
          <w:b/>
          <w:color w:val="auto"/>
          <w:sz w:val="32"/>
          <w:szCs w:val="32"/>
          <w:highlight w:val="none"/>
        </w:rPr>
      </w:pPr>
      <w:bookmarkStart w:id="112" w:name="_Toc31277"/>
      <w:bookmarkStart w:id="113" w:name="_Toc1313"/>
      <w:bookmarkStart w:id="114" w:name="_Toc23819"/>
      <w:bookmarkStart w:id="115" w:name="_Toc5537"/>
      <w:bookmarkStart w:id="116" w:name="_Toc3026"/>
      <w:r>
        <w:rPr>
          <w:rFonts w:hint="eastAsia" w:ascii="宋体" w:hAnsi="宋体" w:cs="宋体"/>
          <w:b/>
          <w:color w:val="auto"/>
          <w:sz w:val="32"/>
          <w:szCs w:val="32"/>
          <w:highlight w:val="none"/>
        </w:rPr>
        <w:t>二、法定代表人身份证明书</w:t>
      </w:r>
      <w:bookmarkEnd w:id="112"/>
      <w:bookmarkEnd w:id="113"/>
      <w:bookmarkEnd w:id="114"/>
      <w:bookmarkEnd w:id="115"/>
      <w:bookmarkEnd w:id="116"/>
    </w:p>
    <w:p>
      <w:pPr>
        <w:snapToGrid w:val="0"/>
        <w:spacing w:line="480" w:lineRule="auto"/>
        <w:rPr>
          <w:rFonts w:ascii="宋体" w:hAnsi="宋体" w:cs="宋体"/>
          <w:color w:val="auto"/>
          <w:szCs w:val="21"/>
          <w:highlight w:val="none"/>
        </w:rPr>
      </w:pP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szCs w:val="21"/>
          <w:highlight w:val="none"/>
        </w:rPr>
        <w:t>谈判单位</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b/>
          <w:bCs/>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成立日期：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utoSpaceDE w:val="0"/>
        <w:autoSpaceDN w:val="0"/>
        <w:adjustRightInd w:val="0"/>
        <w:snapToGrid w:val="0"/>
        <w:spacing w:before="120"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谈判单位</w:t>
      </w:r>
      <w:r>
        <w:rPr>
          <w:rFonts w:hint="eastAsia" w:ascii="宋体" w:hAnsi="宋体" w:cs="宋体"/>
          <w:color w:val="auto"/>
          <w:kern w:val="0"/>
          <w:szCs w:val="21"/>
          <w:highlight w:val="none"/>
          <w:u w:val="single"/>
        </w:rPr>
        <w:t xml:space="preserve">名称）    </w:t>
      </w:r>
      <w:r>
        <w:rPr>
          <w:rFonts w:hint="eastAsia" w:ascii="宋体" w:hAnsi="宋体" w:cs="宋体"/>
          <w:color w:val="auto"/>
          <w:kern w:val="0"/>
          <w:szCs w:val="21"/>
          <w:highlight w:val="none"/>
        </w:rPr>
        <w:t>的法定代表人。</w:t>
      </w:r>
    </w:p>
    <w:p>
      <w:pPr>
        <w:autoSpaceDE w:val="0"/>
        <w:autoSpaceDN w:val="0"/>
        <w:adjustRightInd w:val="0"/>
        <w:snapToGrid w:val="0"/>
        <w:spacing w:before="120" w:beforeLines="50"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4384"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652096;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zlQ+M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kjMnLDX8&#10;17fbnz++s+WozeBDRSHX/grH6oK/BPk5MAdnvXCdOkWEoVeiIUb5GJ89uDAaga6y9fAOGoIWmwhJ&#10;pl2LdgQkAdgudePmvhtqF5mkj8XLsjwsqVGSfHlR5PmiTDlEdXfdY4hvFFg2HmqO1O4EL7aXIY50&#10;RHUXkuiD0c2FNiYZ2K3PDLKtoNG4SM+MHvbDjGNDzY/KoiQi1pNQwXUpyYOwsI+2SM+/0KyOtDxG&#10;25of7gcZN1JSaWBn6nfiTU2Iu/Vu7scamhvSFGEaZlplOvSAXzkbaJCJ4JeNQMWZeeuoL0f5cjlO&#10;fjKW5euCDNz3rPc9wkmCqnnkbDqexWlbNh5111OmPBXv4JR62eqk8kh1YjVPAA1rEn9erHEb9u0U&#10;9edns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L9aJdcAAAAKAQAADwAAAAAAAAABACAAAAAi&#10;AAAAZHJzL2Rvd25yZXYueG1sUEsBAhQAFAAAAAgAh07iQHOVD4x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r>
                        <w:rPr>
                          <w:rFonts w:hint="eastAsia"/>
                          <w:b/>
                        </w:rPr>
                        <w:t>法定代表人身份证（反面）复印件</w:t>
                      </w:r>
                    </w:p>
                  </w:txbxContent>
                </v:textbox>
              </v:rect>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3360"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3120;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5pt;height:96.15pt;width:185.5pt;z-index:251668480;mso-width-relative:page;mso-height-relative:page;" fillcolor="#FFFFFF" filled="t" stroked="t" coordsize="21600,21600" o:gfxdata="UEsDBAoAAAAAAIdO4kAAAAAAAAAAAAAAAAAEAAAAZHJzL1BLAwQUAAAACACHTuJAjYV859cAAAAK&#10;AQAADwAAAGRycy9kb3ducmV2LnhtbE2PP0/DMBDFdyS+g3VIbK2dWKAS4nQAFYmxTZdul8Qkgfgc&#10;xU4b+PRcJ5ju39O738u3ixvE2U6h92QgWSsQlmrf9NQaOJa71QZEiEgNDp6sgW8bYFvc3uSYNf5C&#10;e3s+xFawCYUMDXQxjpmUoe6sw7D2oyW+ffjJYeRxamUz4YXN3SBTpR6lw574Q4ejfels/XWYnYGq&#10;T4/4sy/flHva6fi+lJ/z6dWY+7tEPYOIdol/YrjiMzoUzFT5mZogBgOrZMNZooE04coC/aC5qa4L&#10;rUEWufwfofgFUEsDBBQAAAAIAIdO4kCBNhUC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S84MwJSw3/&#10;9e3254/vrBi1GXyoKOTaX+FYXfCXID8H5uCsF65Tp4gw9Eo0xCgf47MHF0Yj0FW2Ht5BQ9BiEyHJ&#10;tGvRjoAkANulbtzcd0PtIpP0sXhZlsuSGiXJlxdFni/KlENUd9c9hvhGgWXjoeZI7U7wYnsZ4khH&#10;VHchiT4Y3VxoY5KB3frMINsKGo2L9MzoYT/MODbU/KgsSiJiPQkVXJeSPAgL+2iL9PwLzepIy2O0&#10;rflyP8i4kZJKAztTvxNvakLcrXdzP9bQ3JCmCNMw0yrToQf8ytlAg0wEv2wEKs7MW0d9OcoPD8fJ&#10;T8Zh+bogA/c9632PcJKgah45m45ncdqWjUfd9ZQpT8U7OKVetjqpPFKdWM0TQMOaxJ8Xa9yGfTtF&#10;/fmZ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YV859cAAAAKAQAADwAAAAAAAAABACAAAAAi&#10;AAAAZHJzL2Rvd25yZXYueG1sUEsBAhQAFAAAAAgAh07iQIE2FQJ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b/>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备注：上述证件复印件可另附页，另附页时，证件复印件均须加盖单位公章。</w:t>
      </w:r>
    </w:p>
    <w:p>
      <w:pPr>
        <w:snapToGrid w:val="0"/>
        <w:rPr>
          <w:rFonts w:ascii="宋体" w:hAnsi="宋体" w:cs="宋体"/>
          <w:color w:val="auto"/>
          <w:szCs w:val="21"/>
          <w:highlight w:val="none"/>
        </w:rPr>
      </w:pPr>
    </w:p>
    <w:p>
      <w:pPr>
        <w:adjustRightInd w:val="0"/>
        <w:snapToGrid w:val="0"/>
        <w:spacing w:line="360" w:lineRule="auto"/>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谈判单位名称（盖单位章）：</w:t>
      </w:r>
      <w:r>
        <w:rPr>
          <w:rFonts w:hint="eastAsia" w:ascii="宋体" w:hAnsi="宋体" w:cs="宋体"/>
          <w:color w:val="auto"/>
          <w:highlight w:val="none"/>
          <w:u w:val="single"/>
        </w:rPr>
        <w:t xml:space="preserve">               </w:t>
      </w:r>
    </w:p>
    <w:p>
      <w:pPr>
        <w:spacing w:line="360" w:lineRule="auto"/>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360" w:lineRule="auto"/>
        <w:ind w:right="24"/>
        <w:jc w:val="center"/>
        <w:outlineLvl w:val="1"/>
        <w:rPr>
          <w:rFonts w:ascii="宋体" w:hAnsi="宋体" w:cs="宋体"/>
          <w:b/>
          <w:color w:val="auto"/>
          <w:sz w:val="32"/>
          <w:szCs w:val="32"/>
          <w:highlight w:val="none"/>
        </w:rPr>
      </w:pPr>
      <w:r>
        <w:rPr>
          <w:rFonts w:hint="eastAsia" w:ascii="宋体" w:hAnsi="宋体" w:cs="宋体"/>
          <w:bCs/>
          <w:color w:val="auto"/>
          <w:sz w:val="24"/>
          <w:highlight w:val="none"/>
        </w:rPr>
        <w:br w:type="page"/>
      </w:r>
      <w:bookmarkStart w:id="117" w:name="_Toc12644"/>
      <w:bookmarkStart w:id="118" w:name="_Toc14170"/>
      <w:bookmarkStart w:id="119" w:name="_Toc21066"/>
      <w:bookmarkStart w:id="120" w:name="_Toc761"/>
      <w:bookmarkStart w:id="121" w:name="_Toc20611"/>
      <w:r>
        <w:rPr>
          <w:rFonts w:hint="eastAsia" w:ascii="宋体" w:hAnsi="宋体" w:cs="宋体"/>
          <w:b/>
          <w:color w:val="auto"/>
          <w:sz w:val="32"/>
          <w:szCs w:val="32"/>
          <w:highlight w:val="none"/>
        </w:rPr>
        <w:t>三、授权委托书</w:t>
      </w:r>
      <w:bookmarkEnd w:id="117"/>
      <w:bookmarkEnd w:id="118"/>
      <w:bookmarkEnd w:id="119"/>
      <w:bookmarkEnd w:id="120"/>
      <w:bookmarkEnd w:id="121"/>
    </w:p>
    <w:p>
      <w:pPr>
        <w:adjustRightInd w:val="0"/>
        <w:snapToGrid w:val="0"/>
        <w:spacing w:line="360" w:lineRule="auto"/>
        <w:jc w:val="center"/>
        <w:rPr>
          <w:rFonts w:ascii="宋体" w:hAnsi="宋体" w:cs="宋体"/>
          <w:b/>
          <w:color w:val="auto"/>
          <w:sz w:val="28"/>
          <w:szCs w:val="28"/>
          <w:highlight w:val="none"/>
        </w:rPr>
      </w:pPr>
    </w:p>
    <w:p>
      <w:pPr>
        <w:autoSpaceDE w:val="0"/>
        <w:autoSpaceDN w:val="0"/>
        <w:adjustRightInd w:val="0"/>
        <w:snapToGrid w:val="0"/>
        <w:spacing w:before="120" w:beforeLines="50"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谈判单位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的法定代表人，现授权</w:t>
      </w:r>
      <w:r>
        <w:rPr>
          <w:rFonts w:hint="eastAsia" w:ascii="宋体" w:hAnsi="宋体" w:cs="宋体"/>
          <w:color w:val="auto"/>
          <w:kern w:val="0"/>
          <w:szCs w:val="21"/>
          <w:highlight w:val="none"/>
          <w:u w:val="single"/>
        </w:rPr>
        <w:t>（姓名、职务）</w:t>
      </w:r>
      <w:r>
        <w:rPr>
          <w:rFonts w:hint="eastAsia" w:ascii="宋体" w:hAnsi="宋体" w:cs="宋体"/>
          <w:color w:val="auto"/>
          <w:kern w:val="0"/>
          <w:szCs w:val="21"/>
          <w:highlight w:val="none"/>
        </w:rPr>
        <w:t>为我方代理人。代理人根据授权，以我方名义签署、澄清、补正、修改、撤回、提交</w:t>
      </w:r>
      <w:r>
        <w:rPr>
          <w:rFonts w:hint="eastAsia" w:ascii="宋体" w:hAnsi="宋体" w:cs="宋体"/>
          <w:color w:val="auto"/>
          <w:kern w:val="0"/>
          <w:szCs w:val="21"/>
          <w:highlight w:val="none"/>
          <w:u w:val="single"/>
        </w:rPr>
        <w:t>（项目名称、</w:t>
      </w:r>
      <w:r>
        <w:rPr>
          <w:rFonts w:hint="eastAsia" w:ascii="宋体" w:hAnsi="宋体" w:cs="宋体"/>
          <w:color w:val="auto"/>
          <w:szCs w:val="21"/>
          <w:highlight w:val="none"/>
          <w:u w:val="single"/>
        </w:rPr>
        <w:t>项目</w:t>
      </w:r>
      <w:r>
        <w:rPr>
          <w:rFonts w:hint="eastAsia" w:ascii="宋体" w:hAnsi="宋体" w:cs="宋体"/>
          <w:color w:val="auto"/>
          <w:kern w:val="0"/>
          <w:szCs w:val="21"/>
          <w:highlight w:val="none"/>
          <w:u w:val="single"/>
        </w:rPr>
        <w:t>编号）</w:t>
      </w:r>
      <w:r>
        <w:rPr>
          <w:rFonts w:hint="eastAsia" w:ascii="宋体" w:hAnsi="宋体" w:cs="宋体"/>
          <w:color w:val="auto"/>
          <w:kern w:val="0"/>
          <w:szCs w:val="21"/>
          <w:highlight w:val="none"/>
        </w:rPr>
        <w:t>响应文件及与本谈判项目的有关事宜，其法律后果由我方承担。</w:t>
      </w:r>
    </w:p>
    <w:p>
      <w:pPr>
        <w:spacing w:line="360" w:lineRule="auto"/>
        <w:ind w:firstLine="420" w:firstLineChars="200"/>
        <w:rPr>
          <w:rFonts w:ascii="宋体" w:hAnsi="宋体" w:cs="宋体"/>
          <w:color w:val="auto"/>
          <w:kern w:val="0"/>
          <w:szCs w:val="21"/>
          <w:highlight w:val="none"/>
        </w:rPr>
      </w:pPr>
    </w:p>
    <w:p>
      <w:pPr>
        <w:pStyle w:val="2"/>
        <w:spacing w:line="360" w:lineRule="auto"/>
        <w:ind w:left="0" w:leftChars="0" w:firstLine="420" w:firstLineChars="200"/>
        <w:rPr>
          <w:color w:val="auto"/>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pPr>
        <w:spacing w:line="360" w:lineRule="auto"/>
        <w:ind w:firstLine="420" w:firstLineChars="200"/>
        <w:rPr>
          <w:rFonts w:ascii="宋体" w:hAnsi="宋体" w:cs="宋体"/>
          <w:color w:val="auto"/>
          <w:kern w:val="0"/>
          <w:szCs w:val="21"/>
          <w:highlight w:val="none"/>
        </w:rPr>
      </w:pPr>
    </w:p>
    <w:p>
      <w:pPr>
        <w:pStyle w:val="46"/>
        <w:spacing w:after="0" w:line="360" w:lineRule="auto"/>
        <w:ind w:left="0" w:leftChars="0" w:firstLineChars="200"/>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年</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月</w:t>
      </w:r>
      <w:r>
        <w:rPr>
          <w:rFonts w:hint="eastAsia" w:ascii="宋体" w:hAnsi="宋体" w:cs="Times New Roman"/>
          <w:color w:val="auto"/>
          <w:kern w:val="2"/>
          <w:szCs w:val="21"/>
          <w:highlight w:val="none"/>
          <w:u w:val="single"/>
          <w:lang w:bidi="ar"/>
        </w:rPr>
        <w:t xml:space="preserve">    </w:t>
      </w:r>
      <w:r>
        <w:rPr>
          <w:rFonts w:hint="eastAsia" w:ascii="宋体" w:hAnsi="宋体" w:cs="Times New Roman"/>
          <w:color w:val="auto"/>
          <w:kern w:val="2"/>
          <w:szCs w:val="21"/>
          <w:highlight w:val="none"/>
          <w:lang w:bidi="ar"/>
        </w:rPr>
        <w:t>日</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spacing w:line="360" w:lineRule="auto"/>
        <w:ind w:firstLine="435"/>
        <w:rPr>
          <w:rFonts w:ascii="宋体" w:hAnsi="宋体" w:cs="宋体"/>
          <w:color w:val="auto"/>
          <w:szCs w:val="21"/>
          <w:highlight w:val="none"/>
        </w:rPr>
      </w:pPr>
    </w:p>
    <w:p>
      <w:pPr>
        <w:adjustRightInd w:val="0"/>
        <w:snapToGrid w:val="0"/>
        <w:spacing w:before="120" w:beforeLines="5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mc:AlternateContent>
          <mc:Choice Requires="wps">
            <w:drawing>
              <wp:anchor distT="0" distB="0" distL="114300" distR="114300" simplePos="0" relativeHeight="251665408"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51072;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7456"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营业执照复印件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49024;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营业执照复印件</w:t>
                      </w:r>
                    </w:p>
                    <w:p>
                      <w:pPr>
                        <w:rPr>
                          <w:highlight w:val="yellow"/>
                        </w:rPr>
                      </w:pPr>
                    </w:p>
                  </w:txbxContent>
                </v:textbox>
              </v:rect>
            </w:pict>
          </mc:Fallback>
        </mc:AlternateContent>
      </w:r>
      <w:r>
        <w:rPr>
          <w:rFonts w:hint="eastAsia" w:ascii="宋体" w:hAnsi="宋体" w:cs="宋体"/>
          <w:color w:val="auto"/>
          <w:szCs w:val="21"/>
          <w:highlight w:val="none"/>
        </w:rPr>
        <mc:AlternateContent>
          <mc:Choice Requires="wps">
            <w:drawing>
              <wp:anchor distT="0" distB="0" distL="114300" distR="114300" simplePos="0" relativeHeight="251666432"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50048;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备注：上述证件复印件可另附页，另附页时，证件复印件均须加盖单位公章。</w:t>
      </w: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谈判单位名称（盖单位章）：</w:t>
      </w:r>
      <w:r>
        <w:rPr>
          <w:rFonts w:hint="eastAsia" w:ascii="宋体" w:hAnsi="宋体" w:cs="宋体"/>
          <w:color w:val="auto"/>
          <w:highlight w:val="none"/>
          <w:u w:val="single"/>
        </w:rPr>
        <w:t xml:space="preserve">                    </w:t>
      </w: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法定代表人（亲笔签字）：</w:t>
      </w:r>
      <w:r>
        <w:rPr>
          <w:rFonts w:hint="eastAsia" w:ascii="宋体" w:hAnsi="宋体" w:cs="宋体"/>
          <w:color w:val="auto"/>
          <w:szCs w:val="21"/>
          <w:highlight w:val="none"/>
          <w:u w:val="single"/>
        </w:rPr>
        <w:t xml:space="preserve">                      </w:t>
      </w:r>
    </w:p>
    <w:p>
      <w:pPr>
        <w:adjustRightInd w:val="0"/>
        <w:snapToGrid w:val="0"/>
        <w:spacing w:line="360" w:lineRule="auto"/>
        <w:ind w:right="420"/>
        <w:rPr>
          <w:rFonts w:ascii="宋体" w:hAnsi="宋体" w:cs="宋体"/>
          <w:color w:val="auto"/>
          <w:szCs w:val="21"/>
          <w:highlight w:val="none"/>
        </w:rPr>
      </w:pPr>
      <w:r>
        <w:rPr>
          <w:rFonts w:hint="eastAsia" w:ascii="宋体" w:hAnsi="宋体" w:cs="宋体"/>
          <w:color w:val="auto"/>
          <w:szCs w:val="21"/>
          <w:highlight w:val="none"/>
        </w:rPr>
        <w:t>委托代理人（亲笔签字）：</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rPr>
        <w:sectPr>
          <w:pgSz w:w="11906" w:h="16838"/>
          <w:pgMar w:top="1440" w:right="1474" w:bottom="1440" w:left="1587" w:header="851" w:footer="850" w:gutter="0"/>
          <w:pgNumType w:fmt="decimal"/>
          <w:cols w:space="0" w:num="1"/>
          <w:docGrid w:linePitch="312" w:charSpace="0"/>
        </w:sectPr>
      </w:pPr>
      <w:r>
        <w:rPr>
          <w:rFonts w:hint="eastAsia" w:ascii="宋体" w:hAnsi="宋体" w:cs="宋体"/>
          <w:color w:val="auto"/>
          <w:highlight w:val="none"/>
        </w:rPr>
        <w:t>日期</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spacing w:line="360" w:lineRule="auto"/>
        <w:ind w:right="24"/>
        <w:jc w:val="center"/>
        <w:outlineLvl w:val="1"/>
        <w:rPr>
          <w:rFonts w:ascii="宋体" w:hAnsi="宋体" w:cs="宋体"/>
          <w:b/>
          <w:color w:val="auto"/>
          <w:sz w:val="32"/>
          <w:szCs w:val="32"/>
          <w:highlight w:val="none"/>
        </w:rPr>
      </w:pPr>
      <w:bookmarkStart w:id="122" w:name="_Toc11357"/>
      <w:bookmarkStart w:id="123" w:name="_Toc26668"/>
      <w:bookmarkStart w:id="124" w:name="_Toc9019"/>
      <w:bookmarkStart w:id="125" w:name="_Toc2295"/>
      <w:bookmarkStart w:id="126" w:name="_Toc18944"/>
      <w:r>
        <w:rPr>
          <w:rFonts w:hint="eastAsia" w:ascii="宋体" w:hAnsi="宋体" w:cs="宋体"/>
          <w:b/>
          <w:color w:val="auto"/>
          <w:sz w:val="32"/>
          <w:szCs w:val="32"/>
          <w:highlight w:val="none"/>
        </w:rPr>
        <w:t>四、谈判单位资格证明文件</w:t>
      </w:r>
      <w:bookmarkEnd w:id="122"/>
      <w:bookmarkEnd w:id="123"/>
      <w:bookmarkEnd w:id="124"/>
      <w:bookmarkEnd w:id="125"/>
      <w:bookmarkEnd w:id="126"/>
    </w:p>
    <w:p>
      <w:pPr>
        <w:adjustRightInd w:val="0"/>
        <w:snapToGrid w:val="0"/>
        <w:spacing w:line="360" w:lineRule="auto"/>
        <w:rPr>
          <w:rFonts w:ascii="仿宋" w:hAnsi="仿宋" w:eastAsia="仿宋"/>
          <w:bCs/>
          <w:color w:val="auto"/>
          <w:szCs w:val="21"/>
          <w:highlight w:val="none"/>
        </w:rPr>
      </w:pPr>
    </w:p>
    <w:p>
      <w:pPr>
        <w:adjustRightInd w:val="0"/>
        <w:snapToGri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根据本谈判文件</w:t>
      </w:r>
      <w:r>
        <w:rPr>
          <w:rFonts w:hint="eastAsia" w:ascii="宋体" w:hAnsi="宋体"/>
          <w:b/>
          <w:bCs/>
          <w:color w:val="auto"/>
          <w:szCs w:val="21"/>
          <w:highlight w:val="none"/>
        </w:rPr>
        <w:t>前附表</w:t>
      </w:r>
      <w:r>
        <w:rPr>
          <w:rFonts w:hint="eastAsia" w:ascii="宋体" w:hAnsi="宋体"/>
          <w:bCs/>
          <w:color w:val="auto"/>
          <w:szCs w:val="21"/>
          <w:highlight w:val="none"/>
        </w:rPr>
        <w:t>内的资格要求，本章节须附下列证明文件</w:t>
      </w:r>
      <w:r>
        <w:rPr>
          <w:rFonts w:hint="eastAsia" w:ascii="宋体" w:hAnsi="宋体"/>
          <w:b/>
          <w:color w:val="auto"/>
          <w:szCs w:val="21"/>
          <w:highlight w:val="none"/>
        </w:rPr>
        <w:t>原件扫描件打印版</w:t>
      </w:r>
      <w:r>
        <w:rPr>
          <w:rFonts w:hint="eastAsia" w:ascii="宋体" w:hAnsi="宋体"/>
          <w:bCs/>
          <w:color w:val="auto"/>
          <w:szCs w:val="21"/>
          <w:highlight w:val="none"/>
        </w:rPr>
        <w:t>：</w:t>
      </w:r>
    </w:p>
    <w:p>
      <w:pPr>
        <w:numPr>
          <w:ilvl w:val="0"/>
          <w:numId w:val="19"/>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highlight w:val="none"/>
        </w:rPr>
        <w:t>须</w:t>
      </w:r>
      <w:r>
        <w:rPr>
          <w:rFonts w:hint="eastAsia" w:ascii="宋体" w:hAnsi="宋体"/>
          <w:bCs/>
          <w:color w:val="auto"/>
          <w:szCs w:val="21"/>
          <w:highlight w:val="none"/>
          <w:lang w:val="en-US" w:eastAsia="zh-CN"/>
        </w:rPr>
        <w:t>提供营业执照/事业单位法人证书</w:t>
      </w:r>
      <w:r>
        <w:rPr>
          <w:rFonts w:hint="eastAsia" w:ascii="宋体" w:hAnsi="宋体" w:cs="宋体"/>
          <w:color w:val="auto"/>
          <w:szCs w:val="21"/>
          <w:highlight w:val="none"/>
        </w:rPr>
        <w:t>。</w:t>
      </w:r>
    </w:p>
    <w:p>
      <w:pPr>
        <w:numPr>
          <w:ilvl w:val="0"/>
          <w:numId w:val="19"/>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highlight w:val="none"/>
        </w:rPr>
        <w:t>须提供</w:t>
      </w:r>
      <w:r>
        <w:rPr>
          <w:rFonts w:hint="eastAsia" w:cs="Times New Roman"/>
          <w:color w:val="000000"/>
          <w:kern w:val="2"/>
          <w:sz w:val="21"/>
          <w:szCs w:val="21"/>
          <w:highlight w:val="none"/>
          <w:lang w:val="en-US" w:eastAsia="zh-CN" w:bidi="ar-SA"/>
        </w:rPr>
        <w:t>建筑工程施工总承包三级（含）以上或</w:t>
      </w:r>
      <w:r>
        <w:rPr>
          <w:rFonts w:hint="eastAsia" w:ascii="Times New Roman" w:hAnsi="Times New Roman" w:eastAsia="宋体" w:cs="Times New Roman"/>
          <w:color w:val="000000"/>
          <w:kern w:val="2"/>
          <w:sz w:val="21"/>
          <w:szCs w:val="21"/>
          <w:highlight w:val="none"/>
          <w:lang w:val="en-US" w:eastAsia="zh-CN" w:bidi="ar-SA"/>
        </w:rPr>
        <w:t>建筑装修装饰工程专业承包二级（含）以上资质，有效的施工企业《安全生产许可证》。</w:t>
      </w:r>
    </w:p>
    <w:p>
      <w:pPr>
        <w:numPr>
          <w:ilvl w:val="0"/>
          <w:numId w:val="19"/>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highlight w:val="none"/>
        </w:rPr>
        <w:t>须提供项目负责人建筑工程专业二级及以上注册建造师执业资格和项目负责人安全生产考核合格证</w:t>
      </w:r>
      <w:r>
        <w:rPr>
          <w:rFonts w:hint="eastAsia" w:ascii="宋体" w:hAnsi="宋体"/>
          <w:bCs/>
          <w:szCs w:val="21"/>
          <w:highlight w:val="none"/>
          <w:lang w:eastAsia="zh-CN"/>
        </w:rPr>
        <w:t>。</w:t>
      </w:r>
    </w:p>
    <w:p>
      <w:pPr>
        <w:numPr>
          <w:ilvl w:val="0"/>
          <w:numId w:val="19"/>
        </w:numPr>
        <w:spacing w:line="360" w:lineRule="auto"/>
        <w:ind w:firstLine="420" w:firstLineChars="200"/>
        <w:rPr>
          <w:rStyle w:val="56"/>
          <w:color w:val="auto"/>
          <w:kern w:val="0"/>
          <w:highlight w:val="none"/>
          <w:u w:val="none"/>
          <w:shd w:val="clear" w:color="auto" w:fill="FFFFFF"/>
        </w:rPr>
      </w:pPr>
      <w:bookmarkStart w:id="127" w:name="_Hlk88482850"/>
      <w:r>
        <w:rPr>
          <w:rFonts w:hint="eastAsia" w:ascii="宋体" w:hAnsi="宋体"/>
          <w:bCs/>
          <w:szCs w:val="21"/>
          <w:highlight w:val="none"/>
        </w:rPr>
        <w:t>须提供</w:t>
      </w:r>
      <w:bookmarkEnd w:id="127"/>
      <w:r>
        <w:rPr>
          <w:rFonts w:hint="eastAsia" w:ascii="宋体" w:hAnsi="宋体"/>
          <w:bCs/>
          <w:szCs w:val="21"/>
          <w:highlight w:val="none"/>
        </w:rPr>
        <w:t>技术负责人</w:t>
      </w:r>
      <w:r>
        <w:rPr>
          <w:rFonts w:hint="eastAsia" w:ascii="宋体" w:hAnsi="宋体"/>
          <w:bCs/>
          <w:szCs w:val="21"/>
          <w:highlight w:val="none"/>
          <w:lang w:val="en-US" w:eastAsia="zh-CN"/>
        </w:rPr>
        <w:t>建筑</w:t>
      </w:r>
      <w:r>
        <w:rPr>
          <w:rFonts w:hint="eastAsia" w:ascii="宋体" w:hAnsi="宋体"/>
          <w:bCs/>
          <w:szCs w:val="21"/>
          <w:highlight w:val="none"/>
        </w:rPr>
        <w:t>工程相关专业中级及以上资格</w:t>
      </w:r>
      <w:r>
        <w:rPr>
          <w:rFonts w:hint="eastAsia" w:ascii="宋体" w:hAnsi="宋体"/>
          <w:bCs/>
          <w:szCs w:val="21"/>
          <w:highlight w:val="none"/>
          <w:lang w:val="en-US" w:eastAsia="zh-CN"/>
        </w:rPr>
        <w:t>证书</w:t>
      </w:r>
      <w:r>
        <w:rPr>
          <w:rFonts w:hint="eastAsia" w:ascii="宋体" w:hAnsi="宋体"/>
          <w:bCs/>
          <w:szCs w:val="21"/>
          <w:highlight w:val="none"/>
          <w:lang w:eastAsia="zh-CN"/>
        </w:rPr>
        <w:t>。</w:t>
      </w:r>
    </w:p>
    <w:p>
      <w:pPr>
        <w:numPr>
          <w:ilvl w:val="0"/>
          <w:numId w:val="19"/>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highlight w:val="none"/>
        </w:rPr>
        <w:t>须提供施工员岗位资格证书</w:t>
      </w:r>
      <w:r>
        <w:rPr>
          <w:rFonts w:hint="eastAsia" w:ascii="宋体" w:hAnsi="宋体"/>
          <w:bCs/>
          <w:szCs w:val="21"/>
          <w:highlight w:val="none"/>
          <w:lang w:eastAsia="zh-CN"/>
        </w:rPr>
        <w:t>。</w:t>
      </w:r>
    </w:p>
    <w:p>
      <w:pPr>
        <w:numPr>
          <w:ilvl w:val="0"/>
          <w:numId w:val="19"/>
        </w:numPr>
        <w:spacing w:line="360" w:lineRule="auto"/>
        <w:ind w:firstLine="420" w:firstLineChars="200"/>
        <w:rPr>
          <w:rStyle w:val="56"/>
          <w:color w:val="auto"/>
          <w:kern w:val="0"/>
          <w:highlight w:val="none"/>
          <w:u w:val="none"/>
          <w:shd w:val="clear" w:color="auto" w:fill="FFFFFF"/>
        </w:rPr>
      </w:pPr>
      <w:r>
        <w:rPr>
          <w:rFonts w:hint="eastAsia" w:ascii="宋体" w:hAnsi="宋体"/>
          <w:bCs/>
          <w:szCs w:val="21"/>
          <w:highlight w:val="none"/>
        </w:rPr>
        <w:t>须提供专职安全员专职安全生产管理人员安全生产考核合格证</w:t>
      </w:r>
      <w:r>
        <w:rPr>
          <w:rFonts w:hint="eastAsia" w:ascii="宋体" w:hAnsi="宋体"/>
          <w:bCs/>
          <w:szCs w:val="21"/>
          <w:highlight w:val="none"/>
          <w:lang w:eastAsia="zh-CN"/>
        </w:rPr>
        <w:t>。</w:t>
      </w:r>
    </w:p>
    <w:p>
      <w:pPr>
        <w:numPr>
          <w:ilvl w:val="0"/>
          <w:numId w:val="19"/>
        </w:numPr>
        <w:spacing w:line="360" w:lineRule="auto"/>
        <w:ind w:firstLine="420" w:firstLineChars="200"/>
        <w:rPr>
          <w:color w:val="auto"/>
          <w:highlight w:val="none"/>
        </w:rPr>
      </w:pPr>
      <w:r>
        <w:rPr>
          <w:rStyle w:val="56"/>
          <w:rFonts w:hint="eastAsia"/>
          <w:color w:val="auto"/>
          <w:kern w:val="0"/>
          <w:highlight w:val="none"/>
          <w:u w:val="none"/>
          <w:shd w:val="clear" w:color="auto" w:fill="FFFFFF"/>
        </w:rPr>
        <w:t>湖南省外企业须按照湘建建【2015】190号文件要求办理省外入湘企业基本情况登记（以“湖南省住房和城乡建设网”查询为准）或具有入湘施工登记证（处于有效期内）</w:t>
      </w:r>
      <w:r>
        <w:rPr>
          <w:rStyle w:val="56"/>
          <w:rFonts w:hint="eastAsia"/>
          <w:color w:val="auto"/>
          <w:kern w:val="0"/>
          <w:highlight w:val="none"/>
          <w:u w:val="none"/>
          <w:shd w:val="clear" w:color="auto" w:fill="FFFFFF"/>
          <w:lang w:eastAsia="zh-CN"/>
        </w:rPr>
        <w:t>。</w:t>
      </w:r>
    </w:p>
    <w:p>
      <w:pPr>
        <w:numPr>
          <w:ilvl w:val="0"/>
          <w:numId w:val="19"/>
        </w:numPr>
        <w:spacing w:line="360" w:lineRule="auto"/>
        <w:ind w:firstLine="420" w:firstLineChars="200"/>
        <w:rPr>
          <w:color w:val="auto"/>
          <w:highlight w:val="none"/>
        </w:rPr>
      </w:pPr>
      <w:r>
        <w:rPr>
          <w:rFonts w:hint="eastAsia" w:ascii="宋体" w:hAnsi="宋体" w:cs="宋体"/>
          <w:color w:val="auto"/>
          <w:kern w:val="0"/>
          <w:szCs w:val="21"/>
          <w:highlight w:val="none"/>
        </w:rPr>
        <w:t>谈判单位认为与本项目资格条件有关的其它证明文件（如有，格式自拟）</w:t>
      </w:r>
      <w:r>
        <w:rPr>
          <w:rStyle w:val="56"/>
          <w:rFonts w:hint="eastAsia"/>
          <w:color w:val="auto"/>
          <w:kern w:val="0"/>
          <w:highlight w:val="none"/>
          <w:u w:val="none"/>
          <w:shd w:val="clear" w:color="auto" w:fill="FFFFFF"/>
        </w:rPr>
        <w:t>。</w:t>
      </w:r>
    </w:p>
    <w:p>
      <w:pPr>
        <w:adjustRightInd w:val="0"/>
        <w:snapToGrid w:val="0"/>
        <w:spacing w:line="360" w:lineRule="auto"/>
        <w:ind w:firstLine="420" w:firstLineChars="200"/>
        <w:rPr>
          <w:rFonts w:ascii="宋体" w:hAnsi="宋体" w:cs="宋体"/>
          <w:color w:val="auto"/>
          <w:kern w:val="0"/>
          <w:szCs w:val="21"/>
          <w:highlight w:val="none"/>
        </w:rPr>
      </w:pPr>
    </w:p>
    <w:p>
      <w:pPr>
        <w:pStyle w:val="2"/>
        <w:rPr>
          <w:color w:val="auto"/>
          <w:highlight w:val="none"/>
        </w:rPr>
      </w:pP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备注：</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1.上述证明文件扫描件</w:t>
      </w:r>
      <w:r>
        <w:rPr>
          <w:rFonts w:hint="eastAsia" w:ascii="宋体" w:hAnsi="宋体"/>
          <w:b/>
          <w:color w:val="auto"/>
          <w:szCs w:val="21"/>
          <w:highlight w:val="none"/>
        </w:rPr>
        <w:t>打印版</w:t>
      </w:r>
      <w:r>
        <w:rPr>
          <w:rFonts w:hint="eastAsia" w:ascii="宋体" w:hAnsi="宋体"/>
          <w:b/>
          <w:bCs/>
          <w:color w:val="auto"/>
          <w:szCs w:val="21"/>
          <w:highlight w:val="none"/>
        </w:rPr>
        <w:t>均须加盖谈判单位公章。</w:t>
      </w:r>
    </w:p>
    <w:p>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2.上述证明文件如须递交原件的，应用文件袋单独包装，在响应文件递交的同时一并提交。</w:t>
      </w:r>
    </w:p>
    <w:p>
      <w:pPr>
        <w:pStyle w:val="46"/>
        <w:rPr>
          <w:color w:val="auto"/>
          <w:highlight w:val="none"/>
        </w:rPr>
        <w:sectPr>
          <w:pgSz w:w="11906" w:h="16838"/>
          <w:pgMar w:top="1440" w:right="1474" w:bottom="1440" w:left="1587" w:header="851" w:footer="992" w:gutter="0"/>
          <w:pgNumType w:fmt="decimal"/>
          <w:cols w:space="0" w:num="1"/>
          <w:docGrid w:linePitch="319" w:charSpace="0"/>
        </w:sectPr>
      </w:pPr>
    </w:p>
    <w:p>
      <w:pPr>
        <w:pStyle w:val="46"/>
        <w:ind w:left="0" w:leftChars="0" w:firstLine="0"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关键岗位人员配备</w:t>
      </w:r>
      <w:r>
        <w:rPr>
          <w:rFonts w:hint="eastAsia" w:ascii="宋体" w:hAnsi="宋体" w:cs="宋体"/>
          <w:b/>
          <w:color w:val="auto"/>
          <w:kern w:val="2"/>
          <w:sz w:val="32"/>
          <w:szCs w:val="32"/>
          <w:highlight w:val="none"/>
          <w:lang w:val="en-US" w:eastAsia="zh-CN" w:bidi="ar-SA"/>
        </w:rPr>
        <w:t>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2888"/>
        <w:gridCol w:w="2627"/>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280"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序号</w:t>
            </w:r>
          </w:p>
        </w:tc>
        <w:tc>
          <w:tcPr>
            <w:tcW w:w="2888"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姓名</w:t>
            </w:r>
          </w:p>
        </w:tc>
        <w:tc>
          <w:tcPr>
            <w:tcW w:w="2627"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拟任职务</w:t>
            </w:r>
          </w:p>
        </w:tc>
        <w:tc>
          <w:tcPr>
            <w:tcW w:w="2266"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b/>
                <w:bCs/>
                <w:color w:val="auto"/>
                <w:highlight w:val="none"/>
                <w:vertAlign w:val="baseline"/>
                <w:lang w:eastAsia="zh-CN"/>
              </w:rPr>
            </w:pPr>
            <w:r>
              <w:rPr>
                <w:rFonts w:hint="eastAsia"/>
                <w:b/>
                <w:bCs/>
                <w:color w:val="auto"/>
                <w:highlight w:val="none"/>
                <w:vertAlign w:val="baseline"/>
                <w:lang w:eastAsia="zh-CN"/>
              </w:rPr>
              <w:t>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80"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1</w:t>
            </w:r>
          </w:p>
        </w:tc>
        <w:tc>
          <w:tcPr>
            <w:tcW w:w="2888"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eastAsia="zh-CN"/>
              </w:rPr>
            </w:pPr>
            <w:r>
              <w:rPr>
                <w:rFonts w:hint="eastAsia"/>
                <w:color w:val="auto"/>
                <w:highlight w:val="none"/>
                <w:vertAlign w:val="baseline"/>
                <w:lang w:eastAsia="zh-CN"/>
              </w:rPr>
              <w:t>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80"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2</w:t>
            </w:r>
          </w:p>
        </w:tc>
        <w:tc>
          <w:tcPr>
            <w:tcW w:w="2888"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r>
              <w:rPr>
                <w:rFonts w:hint="eastAsia"/>
                <w:color w:val="auto"/>
                <w:highlight w:val="none"/>
                <w:vertAlign w:val="baseline"/>
                <w:lang w:eastAsia="zh-CN"/>
              </w:rPr>
              <w:t>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80"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eastAsia="宋体"/>
                <w:color w:val="auto"/>
                <w:highlight w:val="none"/>
                <w:vertAlign w:val="baseline"/>
                <w:lang w:val="en-US" w:eastAsia="zh-CN"/>
              </w:rPr>
            </w:pPr>
            <w:r>
              <w:rPr>
                <w:rFonts w:hint="eastAsia"/>
                <w:color w:val="auto"/>
                <w:highlight w:val="none"/>
                <w:vertAlign w:val="baseline"/>
                <w:lang w:val="en-US" w:eastAsia="zh-CN"/>
              </w:rPr>
              <w:t>3</w:t>
            </w:r>
          </w:p>
        </w:tc>
        <w:tc>
          <w:tcPr>
            <w:tcW w:w="2888"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r>
              <w:rPr>
                <w:rFonts w:hint="eastAsia"/>
                <w:color w:val="auto"/>
                <w:highlight w:val="none"/>
                <w:vertAlign w:val="baseline"/>
                <w:lang w:eastAsia="zh-CN"/>
              </w:rPr>
              <w:t>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280"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eastAsia="宋体"/>
                <w:color w:val="auto"/>
                <w:highlight w:val="none"/>
                <w:vertAlign w:val="baseline"/>
                <w:lang w:val="en-US" w:eastAsia="zh-CN"/>
              </w:rPr>
            </w:pPr>
            <w:r>
              <w:rPr>
                <w:rFonts w:hint="eastAsia"/>
                <w:color w:val="auto"/>
                <w:highlight w:val="none"/>
                <w:vertAlign w:val="baseline"/>
                <w:lang w:val="en-US" w:eastAsia="zh-CN"/>
              </w:rPr>
              <w:t>...</w:t>
            </w:r>
          </w:p>
        </w:tc>
        <w:tc>
          <w:tcPr>
            <w:tcW w:w="2888"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627"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c>
          <w:tcPr>
            <w:tcW w:w="2266" w:type="dxa"/>
            <w:vAlign w:val="center"/>
          </w:tcPr>
          <w:p>
            <w:pPr>
              <w:pStyle w:val="46"/>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color w:val="auto"/>
                <w:highlight w:val="none"/>
                <w:vertAlign w:val="baseline"/>
              </w:rPr>
            </w:pPr>
          </w:p>
        </w:tc>
      </w:tr>
    </w:tbl>
    <w:p>
      <w:pPr>
        <w:pStyle w:val="46"/>
        <w:ind w:left="0" w:leftChars="0" w:firstLine="0" w:firstLineChars="0"/>
        <w:rPr>
          <w:color w:val="auto"/>
          <w:highlight w:val="none"/>
        </w:rPr>
      </w:pPr>
      <w:r>
        <w:rPr>
          <w:rFonts w:hint="eastAsia" w:ascii="宋体" w:hAnsi="宋体" w:cs="宋体"/>
          <w:b/>
          <w:bCs/>
          <w:szCs w:val="21"/>
          <w:highlight w:val="none"/>
          <w:lang w:val="en-US" w:eastAsia="zh-CN"/>
        </w:rPr>
        <w:t>我单位承诺：上述为本项目配备的关键岗位人员未在长沙市轨道交通运营有限公司的其他项目担任关键岗位。</w:t>
      </w:r>
    </w:p>
    <w:p>
      <w:pPr>
        <w:pStyle w:val="46"/>
        <w:rPr>
          <w:color w:val="auto"/>
          <w:highlight w:val="none"/>
        </w:rPr>
      </w:pPr>
    </w:p>
    <w:p>
      <w:pPr>
        <w:pStyle w:val="46"/>
        <w:rPr>
          <w:color w:val="auto"/>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pStyle w:val="46"/>
        <w:ind w:left="0" w:leftChars="0" w:firstLine="0" w:firstLineChars="0"/>
        <w:rPr>
          <w:color w:val="auto"/>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46"/>
        <w:rPr>
          <w:color w:val="auto"/>
          <w:highlight w:val="none"/>
        </w:rPr>
      </w:pPr>
    </w:p>
    <w:p>
      <w:pPr>
        <w:pStyle w:val="2"/>
        <w:rPr>
          <w:color w:val="auto"/>
          <w:highlight w:val="none"/>
        </w:rPr>
        <w:sectPr>
          <w:pgSz w:w="11906" w:h="16838"/>
          <w:pgMar w:top="1440" w:right="1474" w:bottom="1440" w:left="1587" w:header="851" w:footer="992" w:gutter="0"/>
          <w:pgNumType w:fmt="decimal"/>
          <w:cols w:space="0" w:num="1"/>
          <w:docGrid w:linePitch="319" w:charSpace="0"/>
        </w:sectPr>
      </w:pPr>
    </w:p>
    <w:p>
      <w:pPr>
        <w:adjustRightInd w:val="0"/>
        <w:snapToGrid w:val="0"/>
        <w:spacing w:line="360" w:lineRule="auto"/>
        <w:ind w:right="24"/>
        <w:jc w:val="center"/>
        <w:outlineLvl w:val="1"/>
        <w:rPr>
          <w:rFonts w:ascii="宋体" w:hAnsi="宋体" w:cs="宋体"/>
          <w:b/>
          <w:color w:val="auto"/>
          <w:sz w:val="32"/>
          <w:szCs w:val="32"/>
          <w:highlight w:val="none"/>
        </w:rPr>
      </w:pPr>
      <w:bookmarkStart w:id="128" w:name="_Toc7528"/>
      <w:bookmarkStart w:id="129" w:name="_Toc9230"/>
      <w:bookmarkStart w:id="130" w:name="_Toc30403"/>
      <w:bookmarkStart w:id="131" w:name="_Toc14088"/>
      <w:bookmarkStart w:id="132" w:name="_Toc9067"/>
      <w:r>
        <w:rPr>
          <w:rFonts w:hint="eastAsia" w:ascii="宋体" w:hAnsi="宋体" w:cs="宋体"/>
          <w:b/>
          <w:color w:val="auto"/>
          <w:sz w:val="32"/>
          <w:szCs w:val="32"/>
          <w:highlight w:val="none"/>
        </w:rPr>
        <w:t>五、</w:t>
      </w:r>
      <w:bookmarkEnd w:id="128"/>
      <w:bookmarkEnd w:id="129"/>
      <w:bookmarkEnd w:id="130"/>
      <w:r>
        <w:rPr>
          <w:rFonts w:hint="eastAsia" w:ascii="宋体" w:hAnsi="宋体" w:cs="宋体"/>
          <w:b/>
          <w:color w:val="auto"/>
          <w:sz w:val="32"/>
          <w:szCs w:val="32"/>
          <w:highlight w:val="none"/>
        </w:rPr>
        <w:t>不拖欠农民工工资承诺书</w:t>
      </w:r>
      <w:bookmarkEnd w:id="131"/>
      <w:bookmarkEnd w:id="132"/>
    </w:p>
    <w:p>
      <w:pPr>
        <w:adjustRightInd w:val="0"/>
        <w:snapToGrid w:val="0"/>
        <w:ind w:left="-88" w:leftChars="-42" w:firstLine="211" w:firstLineChars="100"/>
        <w:jc w:val="center"/>
        <w:rPr>
          <w:rFonts w:ascii="宋体" w:hAnsi="宋体" w:cs="宋体"/>
          <w:b/>
          <w:bCs/>
          <w:color w:val="auto"/>
          <w:szCs w:val="21"/>
          <w:highlight w:val="none"/>
        </w:rPr>
      </w:pPr>
    </w:p>
    <w:p>
      <w:pPr>
        <w:ind w:firstLine="105" w:firstLineChars="50"/>
        <w:rPr>
          <w:rFonts w:ascii="宋体" w:hAnsi="宋体" w:cs="宋体"/>
          <w:color w:val="auto"/>
          <w:highlight w:val="none"/>
          <w:u w:val="single"/>
        </w:rPr>
      </w:pPr>
      <w:r>
        <w:rPr>
          <w:rFonts w:hint="eastAsia" w:ascii="宋体" w:hAnsi="宋体" w:cs="宋体"/>
          <w:color w:val="auto"/>
          <w:highlight w:val="none"/>
        </w:rPr>
        <w:t>致：</w:t>
      </w:r>
      <w:r>
        <w:rPr>
          <w:rFonts w:hint="eastAsia" w:ascii="Times New Roman" w:hAnsi="Times New Roman" w:eastAsia="宋体" w:cs="Times New Roman"/>
          <w:color w:val="000000"/>
          <w:kern w:val="2"/>
          <w:sz w:val="21"/>
          <w:szCs w:val="21"/>
          <w:highlight w:val="none"/>
          <w:u w:val="single"/>
          <w:lang w:val="en-US" w:eastAsia="zh-CN" w:bidi="ar-SA"/>
        </w:rPr>
        <w:t>长沙市轨道交通运营有限公司</w:t>
      </w:r>
    </w:p>
    <w:p>
      <w:pPr>
        <w:rPr>
          <w:rFonts w:ascii="宋体" w:hAnsi="宋体" w:cs="宋体"/>
          <w:color w:val="auto"/>
          <w:highlight w:val="none"/>
        </w:rPr>
      </w:pP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根据贵方的</w:t>
      </w:r>
      <w:r>
        <w:rPr>
          <w:rFonts w:hint="eastAsia" w:ascii="Times New Roman" w:hAnsi="Times New Roman" w:eastAsia="宋体" w:cs="Times New Roman"/>
          <w:color w:val="000000"/>
          <w:kern w:val="2"/>
          <w:sz w:val="21"/>
          <w:szCs w:val="21"/>
          <w:highlight w:val="none"/>
          <w:u w:val="single"/>
          <w:lang w:val="en-US" w:eastAsia="zh-CN" w:bidi="ar-SA"/>
        </w:rPr>
        <w:t>长沙市轨道交通2号线一期工程运营期车站出入口硅纤板改造工程项目</w:t>
      </w:r>
      <w:r>
        <w:rPr>
          <w:rFonts w:hint="eastAsia" w:cs="Times New Roman"/>
          <w:color w:val="000000"/>
          <w:kern w:val="2"/>
          <w:sz w:val="21"/>
          <w:szCs w:val="21"/>
          <w:highlight w:val="none"/>
          <w:u w:val="none"/>
          <w:lang w:val="en-US" w:eastAsia="zh-CN" w:bidi="ar-SA"/>
        </w:rPr>
        <w:t>竞争性</w:t>
      </w:r>
      <w:r>
        <w:rPr>
          <w:rFonts w:hint="eastAsia" w:ascii="宋体" w:hAnsi="宋体" w:cs="宋体"/>
          <w:color w:val="auto"/>
          <w:highlight w:val="none"/>
        </w:rPr>
        <w:t>谈判文件，一旦我方中选，我方保证按长建发【2004】54号（关于印发《防止发生拖欠工程款行为联动实施办法》）文件精神执行，及时足额支付民工工资。</w:t>
      </w:r>
    </w:p>
    <w:p>
      <w:pPr>
        <w:spacing w:line="360" w:lineRule="auto"/>
        <w:rPr>
          <w:rFonts w:ascii="宋体" w:hAnsi="宋体" w:cs="宋体"/>
          <w:color w:val="auto"/>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邮编：</w:t>
      </w:r>
      <w:r>
        <w:rPr>
          <w:rFonts w:hint="eastAsia" w:ascii="宋体" w:hAnsi="宋体" w:cs="宋体"/>
          <w:color w:val="auto"/>
          <w:szCs w:val="21"/>
          <w:highlight w:val="none"/>
          <w:u w:val="single"/>
        </w:rPr>
        <w:t xml:space="preserve">                          </w:t>
      </w: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adjustRightInd w:val="0"/>
        <w:snapToGrid w:val="0"/>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spacing w:line="360" w:lineRule="exac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keepNext w:val="0"/>
        <w:keepLines w:val="0"/>
        <w:pageBreakBefore w:val="0"/>
        <w:widowControl w:val="0"/>
        <w:kinsoku/>
        <w:wordWrap/>
        <w:overflowPunct/>
        <w:topLinePunct w:val="0"/>
        <w:autoSpaceDE/>
        <w:autoSpaceDN/>
        <w:bidi w:val="0"/>
        <w:adjustRightInd w:val="0"/>
        <w:snapToGrid w:val="0"/>
        <w:spacing w:line="360" w:lineRule="auto"/>
        <w:ind w:right="24"/>
        <w:jc w:val="center"/>
        <w:textAlignment w:val="auto"/>
        <w:outlineLvl w:val="9"/>
        <w:rPr>
          <w:rFonts w:ascii="宋体" w:hAnsi="宋体" w:cs="宋体"/>
          <w:color w:val="auto"/>
          <w:sz w:val="24"/>
          <w:highlight w:val="none"/>
        </w:rPr>
        <w:sectPr>
          <w:pgSz w:w="11906" w:h="16838"/>
          <w:pgMar w:top="1440" w:right="1474" w:bottom="1440" w:left="1531" w:header="851" w:footer="850" w:gutter="0"/>
          <w:pgNumType w:fmt="decimal"/>
          <w:cols w:space="0" w:num="1"/>
          <w:docGrid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1"/>
        <w:rPr>
          <w:rFonts w:hint="eastAsia" w:ascii="宋体" w:hAnsi="宋体" w:cs="宋体"/>
          <w:b/>
          <w:color w:val="auto"/>
          <w:kern w:val="2"/>
          <w:sz w:val="32"/>
          <w:szCs w:val="32"/>
          <w:highlight w:val="none"/>
          <w:lang w:val="en-US" w:eastAsia="zh-CN" w:bidi="ar-SA"/>
        </w:rPr>
      </w:pPr>
      <w:bookmarkStart w:id="133" w:name="_Toc1226"/>
      <w:r>
        <w:rPr>
          <w:rFonts w:hint="eastAsia" w:ascii="宋体" w:hAnsi="宋体" w:cs="宋体"/>
          <w:b/>
          <w:color w:val="auto"/>
          <w:kern w:val="2"/>
          <w:sz w:val="32"/>
          <w:szCs w:val="32"/>
          <w:highlight w:val="none"/>
          <w:lang w:val="en-US" w:eastAsia="zh-CN" w:bidi="ar-SA"/>
        </w:rPr>
        <w:t>六、</w:t>
      </w:r>
      <w:r>
        <w:rPr>
          <w:rFonts w:hint="eastAsia" w:ascii="宋体" w:hAnsi="宋体" w:eastAsia="宋体" w:cs="宋体"/>
          <w:b/>
          <w:color w:val="auto"/>
          <w:kern w:val="2"/>
          <w:sz w:val="32"/>
          <w:szCs w:val="32"/>
          <w:highlight w:val="none"/>
          <w:lang w:val="en-US" w:eastAsia="zh-CN" w:bidi="ar-SA"/>
        </w:rPr>
        <w:t>商务详细</w:t>
      </w:r>
      <w:r>
        <w:rPr>
          <w:rFonts w:hint="eastAsia" w:ascii="宋体" w:hAnsi="宋体" w:cs="宋体"/>
          <w:b/>
          <w:color w:val="auto"/>
          <w:kern w:val="2"/>
          <w:sz w:val="32"/>
          <w:szCs w:val="32"/>
          <w:highlight w:val="none"/>
          <w:lang w:val="en-US" w:eastAsia="zh-CN" w:bidi="ar-SA"/>
        </w:rPr>
        <w:t>评审证明文件</w:t>
      </w:r>
      <w:bookmarkEnd w:id="133"/>
    </w:p>
    <w:p>
      <w:pPr>
        <w:numPr>
          <w:ilvl w:val="0"/>
          <w:numId w:val="0"/>
        </w:numPr>
        <w:rPr>
          <w:rFonts w:hint="eastAsia"/>
          <w:sz w:val="28"/>
          <w:szCs w:val="28"/>
          <w:highlight w:val="none"/>
          <w:lang w:val="en-US" w:eastAsia="zh-CN"/>
        </w:rPr>
      </w:pPr>
    </w:p>
    <w:p>
      <w:pPr>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（一）质保期延长承诺函</w:t>
      </w:r>
    </w:p>
    <w:p>
      <w:pPr>
        <w:pStyle w:val="2"/>
        <w:ind w:left="0" w:leftChars="0" w:firstLine="0" w:firstLineChars="0"/>
        <w:rPr>
          <w:highlight w:val="none"/>
        </w:rPr>
      </w:pPr>
    </w:p>
    <w:p>
      <w:pPr>
        <w:jc w:val="center"/>
        <w:rPr>
          <w:highlight w:val="none"/>
        </w:rPr>
      </w:pPr>
      <w:r>
        <w:rPr>
          <w:rFonts w:hint="eastAsia"/>
          <w:b/>
          <w:color w:val="auto"/>
          <w:sz w:val="32"/>
          <w:szCs w:val="32"/>
          <w:highlight w:val="none"/>
        </w:rPr>
        <w:t>承诺函</w:t>
      </w:r>
    </w:p>
    <w:p>
      <w:pPr>
        <w:widowControl/>
        <w:spacing w:line="560" w:lineRule="exact"/>
        <w:rPr>
          <w:rFonts w:hint="eastAsia" w:ascii="宋体" w:hAnsi="宋体" w:eastAsia="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rPr>
        <w:t>长沙市轨道交通运营有限公司</w:t>
      </w:r>
      <w:r>
        <w:rPr>
          <w:rFonts w:hint="eastAsia" w:ascii="宋体" w:hAnsi="宋体" w:cs="宋体"/>
          <w:b w:val="0"/>
          <w:bCs w:val="0"/>
          <w:color w:val="auto"/>
          <w:kern w:val="0"/>
          <w:sz w:val="21"/>
          <w:szCs w:val="21"/>
          <w:highlight w:val="none"/>
          <w:lang w:eastAsia="zh-CN"/>
        </w:rPr>
        <w:t>：</w:t>
      </w:r>
    </w:p>
    <w:p>
      <w:pPr>
        <w:widowControl/>
        <w:spacing w:line="5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我方已仔细研究了</w:t>
      </w:r>
      <w:r>
        <w:rPr>
          <w:rFonts w:hint="eastAsia" w:ascii="宋体" w:hAnsi="宋体" w:eastAsia="宋体" w:cs="宋体"/>
          <w:color w:val="auto"/>
          <w:kern w:val="0"/>
          <w:sz w:val="21"/>
          <w:szCs w:val="21"/>
          <w:highlight w:val="none"/>
          <w:u w:val="single"/>
          <w:lang w:val="en-US" w:eastAsia="zh-CN"/>
        </w:rPr>
        <w:t>长沙市轨道交通2号线一期工程运营期车站出入口硅纤板改造工程项目</w:t>
      </w:r>
      <w:r>
        <w:rPr>
          <w:rFonts w:hint="eastAsia" w:ascii="宋体" w:hAnsi="宋体" w:eastAsia="宋体" w:cs="宋体"/>
          <w:color w:val="auto"/>
          <w:kern w:val="0"/>
          <w:sz w:val="21"/>
          <w:szCs w:val="21"/>
          <w:highlight w:val="none"/>
        </w:rPr>
        <w:t>谈判文件的全部内容，愿</w:t>
      </w:r>
      <w:r>
        <w:rPr>
          <w:rFonts w:hint="eastAsia" w:ascii="宋体" w:hAnsi="宋体" w:cs="宋体"/>
          <w:color w:val="auto"/>
          <w:kern w:val="0"/>
          <w:sz w:val="21"/>
          <w:szCs w:val="21"/>
          <w:highlight w:val="none"/>
        </w:rPr>
        <w:t>意按谈判文件</w:t>
      </w:r>
      <w:r>
        <w:rPr>
          <w:rFonts w:hint="eastAsia" w:ascii="宋体" w:hAnsi="宋体" w:cs="宋体"/>
          <w:color w:val="auto"/>
          <w:kern w:val="0"/>
          <w:sz w:val="21"/>
          <w:szCs w:val="21"/>
          <w:highlight w:val="none"/>
          <w:lang w:eastAsia="zh-CN"/>
        </w:rPr>
        <w:t>及</w:t>
      </w:r>
      <w:r>
        <w:rPr>
          <w:rFonts w:hint="eastAsia" w:ascii="宋体" w:hAnsi="宋体" w:cs="宋体"/>
          <w:color w:val="auto"/>
          <w:kern w:val="0"/>
          <w:sz w:val="21"/>
          <w:szCs w:val="21"/>
          <w:highlight w:val="none"/>
        </w:rPr>
        <w:t>用户需求书要求提</w:t>
      </w:r>
      <w:r>
        <w:rPr>
          <w:rFonts w:hint="eastAsia" w:ascii="宋体" w:hAnsi="宋体" w:eastAsia="宋体" w:cs="宋体"/>
          <w:color w:val="auto"/>
          <w:kern w:val="0"/>
          <w:sz w:val="21"/>
          <w:szCs w:val="21"/>
          <w:highlight w:val="none"/>
        </w:rPr>
        <w:t>供</w:t>
      </w:r>
      <w:r>
        <w:rPr>
          <w:rFonts w:hint="eastAsia" w:ascii="宋体" w:hAnsi="宋体" w:eastAsia="宋体" w:cs="宋体"/>
          <w:color w:val="auto"/>
          <w:kern w:val="0"/>
          <w:sz w:val="21"/>
          <w:szCs w:val="21"/>
          <w:highlight w:val="none"/>
          <w:lang w:val="en-US" w:eastAsia="zh-CN"/>
        </w:rPr>
        <w:t>质保期延长承诺</w:t>
      </w:r>
      <w:r>
        <w:rPr>
          <w:rFonts w:hint="eastAsia" w:ascii="宋体" w:hAnsi="宋体" w:eastAsia="宋体" w:cs="宋体"/>
          <w:color w:val="auto"/>
          <w:kern w:val="0"/>
          <w:sz w:val="21"/>
          <w:szCs w:val="21"/>
          <w:highlight w:val="none"/>
        </w:rPr>
        <w:t>，并按合同约定履行义务。</w:t>
      </w:r>
    </w:p>
    <w:p>
      <w:pPr>
        <w:widowControl/>
        <w:spacing w:line="56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若我方有幸中选，我方承诺：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我方针对</w:t>
      </w:r>
      <w:r>
        <w:rPr>
          <w:rFonts w:hint="eastAsia" w:ascii="宋体" w:hAnsi="宋体" w:eastAsia="宋体" w:cs="宋体"/>
          <w:color w:val="auto"/>
          <w:kern w:val="0"/>
          <w:sz w:val="21"/>
          <w:szCs w:val="21"/>
          <w:highlight w:val="none"/>
          <w:u w:val="single"/>
          <w:lang w:val="en-US" w:eastAsia="zh-CN"/>
        </w:rPr>
        <w:t>长沙市轨道交通2号线一期工程运营期车站出入口硅纤板改造工程项目</w:t>
      </w:r>
      <w:r>
        <w:rPr>
          <w:rFonts w:hint="eastAsia" w:ascii="宋体" w:hAnsi="宋体" w:cs="宋体"/>
          <w:color w:val="auto"/>
          <w:kern w:val="0"/>
          <w:sz w:val="21"/>
          <w:szCs w:val="21"/>
          <w:highlight w:val="none"/>
          <w:u w:val="single"/>
          <w:lang w:val="en-US" w:eastAsia="zh-CN"/>
        </w:rPr>
        <w:t>，承诺在满足用户需求书质保期要求的基础上，</w:t>
      </w:r>
      <w:r>
        <w:rPr>
          <w:rFonts w:hint="eastAsia" w:ascii="宋体" w:hAnsi="宋体" w:cs="宋体"/>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质保期延长</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u w:val="single"/>
          <w:lang w:val="en-US" w:eastAsia="zh-CN"/>
        </w:rPr>
        <w:t xml:space="preserve"> </w:t>
      </w:r>
      <w:r>
        <w:rPr>
          <w:rFonts w:hint="eastAsia" w:ascii="宋体" w:hAnsi="宋体" w:eastAsia="宋体" w:cs="宋体"/>
          <w:b/>
          <w:bCs/>
          <w:color w:val="auto"/>
          <w:kern w:val="0"/>
          <w:sz w:val="21"/>
          <w:szCs w:val="21"/>
          <w:highlight w:val="none"/>
          <w:lang w:val="en-US" w:eastAsia="zh-CN"/>
        </w:rPr>
        <w:t>月</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内容</w:t>
      </w:r>
      <w:r>
        <w:rPr>
          <w:rFonts w:hint="eastAsia" w:ascii="宋体" w:hAnsi="宋体" w:cs="宋体"/>
          <w:color w:val="auto"/>
          <w:kern w:val="0"/>
          <w:sz w:val="21"/>
          <w:szCs w:val="21"/>
          <w:highlight w:val="none"/>
        </w:rPr>
        <w:t>系自愿行为，并将完全响</w:t>
      </w:r>
      <w:r>
        <w:rPr>
          <w:rFonts w:hint="eastAsia" w:ascii="宋体" w:hAnsi="宋体" w:cs="宋体"/>
          <w:color w:val="auto"/>
          <w:kern w:val="0"/>
          <w:sz w:val="21"/>
          <w:szCs w:val="21"/>
          <w:highlight w:val="none"/>
          <w:lang w:eastAsia="zh-CN"/>
        </w:rPr>
        <w:t>应执行</w:t>
      </w:r>
      <w:r>
        <w:rPr>
          <w:rFonts w:hint="eastAsia" w:ascii="宋体" w:hAnsi="宋体" w:cs="宋体"/>
          <w:color w:val="auto"/>
          <w:kern w:val="0"/>
          <w:sz w:val="21"/>
          <w:szCs w:val="21"/>
          <w:highlight w:val="none"/>
        </w:rPr>
        <w:t>。</w:t>
      </w:r>
    </w:p>
    <w:p>
      <w:pPr>
        <w:spacing w:line="560" w:lineRule="exact"/>
        <w:ind w:firstLine="420" w:firstLineChars="200"/>
        <w:rPr>
          <w:rFonts w:ascii="宋体" w:hAnsi="宋体" w:cs="宋体"/>
          <w:color w:val="auto"/>
          <w:sz w:val="21"/>
          <w:szCs w:val="21"/>
          <w:highlight w:val="none"/>
        </w:rPr>
      </w:pPr>
    </w:p>
    <w:p>
      <w:pPr>
        <w:spacing w:line="560" w:lineRule="exact"/>
        <w:ind w:firstLine="420" w:firstLineChars="200"/>
        <w:rPr>
          <w:rFonts w:ascii="宋体" w:hAnsi="宋体" w:cs="宋体"/>
          <w:b/>
          <w:color w:val="auto"/>
          <w:sz w:val="21"/>
          <w:szCs w:val="21"/>
          <w:highlight w:val="none"/>
        </w:rPr>
      </w:pPr>
      <w:bookmarkStart w:id="134" w:name="_Toc17784"/>
      <w:r>
        <w:rPr>
          <w:rFonts w:hint="eastAsia" w:ascii="宋体" w:hAnsi="宋体" w:cs="宋体"/>
          <w:color w:val="auto"/>
          <w:sz w:val="21"/>
          <w:szCs w:val="21"/>
          <w:highlight w:val="none"/>
        </w:rPr>
        <w:t>特此承诺！</w:t>
      </w:r>
      <w:bookmarkEnd w:id="134"/>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adjustRightInd w:val="0"/>
        <w:snapToGrid w:val="0"/>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pStyle w:val="2"/>
        <w:ind w:left="0" w:leftChars="0" w:firstLine="0" w:firstLineChars="0"/>
        <w:rPr>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highlight w:val="none"/>
        </w:rPr>
      </w:pPr>
    </w:p>
    <w:p>
      <w:pPr>
        <w:pStyle w:val="2"/>
        <w:rPr>
          <w:highlight w:val="none"/>
        </w:rPr>
      </w:pPr>
    </w:p>
    <w:p>
      <w:pPr>
        <w:pStyle w:val="2"/>
        <w:ind w:left="0" w:leftChars="0" w:firstLine="0" w:firstLineChars="0"/>
        <w:rPr>
          <w:highlight w:val="none"/>
        </w:rPr>
        <w:sectPr>
          <w:pgSz w:w="11906" w:h="16838"/>
          <w:pgMar w:top="1440" w:right="1474" w:bottom="1440" w:left="1531" w:header="851" w:footer="850" w:gutter="0"/>
          <w:pgNumType w:fmt="decimal"/>
          <w:cols w:space="0" w:num="1"/>
          <w:docGrid w:linePitch="312" w:charSpace="0"/>
        </w:sectPr>
      </w:pPr>
    </w:p>
    <w:p>
      <w:pPr>
        <w:ind w:firstLine="140" w:firstLineChars="50"/>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（二）企业实力</w:t>
      </w: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r>
        <w:rPr>
          <w:rFonts w:hint="eastAsia" w:ascii="宋体" w:hAnsi="宋体" w:cs="宋体"/>
          <w:b/>
          <w:bCs/>
          <w:highlight w:val="none"/>
          <w:lang w:val="en-US" w:eastAsia="zh-CN"/>
        </w:rPr>
        <w:t>填写说明：</w:t>
      </w:r>
    </w:p>
    <w:p>
      <w:pPr>
        <w:numPr>
          <w:ilvl w:val="0"/>
          <w:numId w:val="0"/>
        </w:numPr>
        <w:rPr>
          <w:rFonts w:hint="eastAsia" w:ascii="宋体" w:hAnsi="宋体" w:cs="宋体"/>
          <w:highlight w:val="none"/>
          <w:lang w:eastAsia="zh-CN"/>
        </w:rPr>
      </w:pPr>
      <w:r>
        <w:rPr>
          <w:rFonts w:hint="eastAsia" w:ascii="宋体" w:hAnsi="宋体" w:cs="宋体"/>
          <w:highlight w:val="none"/>
          <w:lang w:val="en-US" w:eastAsia="zh-CN"/>
        </w:rPr>
        <w:t>1.</w:t>
      </w:r>
      <w:r>
        <w:rPr>
          <w:rFonts w:hint="eastAsia" w:ascii="宋体" w:hAnsi="宋体" w:cs="宋体"/>
          <w:highlight w:val="none"/>
          <w:lang w:eastAsia="zh-CN"/>
        </w:rPr>
        <w:t>谈判单位具有建筑装饰工程设计专项</w:t>
      </w:r>
      <w:r>
        <w:rPr>
          <w:rFonts w:hint="eastAsia" w:ascii="宋体" w:hAnsi="宋体" w:cs="宋体"/>
          <w:highlight w:val="none"/>
          <w:lang w:val="en-US" w:eastAsia="zh-CN"/>
        </w:rPr>
        <w:t>乙</w:t>
      </w:r>
      <w:r>
        <w:rPr>
          <w:rFonts w:hint="eastAsia" w:ascii="宋体" w:hAnsi="宋体" w:cs="宋体"/>
          <w:highlight w:val="none"/>
          <w:lang w:eastAsia="zh-CN"/>
        </w:rPr>
        <w:t>级及以上设计资质的，则粘贴资质证书证明文件；</w:t>
      </w:r>
    </w:p>
    <w:p>
      <w:pPr>
        <w:rPr>
          <w:highlight w:val="none"/>
        </w:rPr>
      </w:pPr>
      <w:r>
        <w:rPr>
          <w:rFonts w:hint="eastAsia" w:ascii="宋体" w:hAnsi="宋体" w:cs="宋体"/>
          <w:highlight w:val="none"/>
          <w:lang w:val="en-US" w:eastAsia="zh-CN"/>
        </w:rPr>
        <w:t>2.</w:t>
      </w:r>
      <w:r>
        <w:rPr>
          <w:rFonts w:hint="eastAsia" w:ascii="宋体" w:hAnsi="宋体" w:cs="宋体"/>
          <w:highlight w:val="none"/>
          <w:lang w:eastAsia="zh-CN"/>
        </w:rPr>
        <w:t>谈判单位无建筑装饰工程设计专项</w:t>
      </w:r>
      <w:r>
        <w:rPr>
          <w:rFonts w:hint="eastAsia" w:ascii="宋体" w:hAnsi="宋体" w:cs="宋体"/>
          <w:highlight w:val="none"/>
          <w:lang w:val="en-US" w:eastAsia="zh-CN"/>
        </w:rPr>
        <w:t>乙</w:t>
      </w:r>
      <w:r>
        <w:rPr>
          <w:rFonts w:hint="eastAsia" w:ascii="宋体" w:hAnsi="宋体" w:cs="宋体"/>
          <w:highlight w:val="none"/>
          <w:lang w:eastAsia="zh-CN"/>
        </w:rPr>
        <w:t>级及以上设计资质的的，则填写“无”。</w:t>
      </w: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adjustRightInd w:val="0"/>
        <w:snapToGrid w:val="0"/>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numPr>
          <w:ilvl w:val="0"/>
          <w:numId w:val="0"/>
        </w:numPr>
        <w:rPr>
          <w:rFonts w:hint="eastAsia" w:ascii="宋体" w:hAnsi="宋体" w:cs="宋体"/>
          <w:highlight w:val="none"/>
          <w:lang w:val="en-US" w:eastAsia="zh-CN"/>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numPr>
          <w:ilvl w:val="0"/>
          <w:numId w:val="0"/>
        </w:numPr>
        <w:rPr>
          <w:rFonts w:hint="eastAsia" w:ascii="宋体" w:hAnsi="宋体" w:cs="宋体"/>
          <w:highlight w:val="none"/>
          <w:lang w:val="en-US" w:eastAsia="zh-CN"/>
        </w:rPr>
      </w:pPr>
    </w:p>
    <w:p>
      <w:pPr>
        <w:numPr>
          <w:ilvl w:val="0"/>
          <w:numId w:val="0"/>
        </w:numPr>
        <w:rPr>
          <w:rFonts w:hint="eastAsia" w:ascii="宋体" w:hAnsi="宋体" w:cs="宋体"/>
          <w:highlight w:val="none"/>
          <w:lang w:val="en-US" w:eastAsia="zh-CN"/>
        </w:rPr>
      </w:pPr>
    </w:p>
    <w:p>
      <w:pPr>
        <w:pStyle w:val="2"/>
        <w:rPr>
          <w:highlight w:val="none"/>
        </w:rPr>
      </w:pPr>
    </w:p>
    <w:p>
      <w:pPr>
        <w:pStyle w:val="2"/>
        <w:rPr>
          <w:highlight w:val="none"/>
        </w:rPr>
        <w:sectPr>
          <w:pgSz w:w="11906" w:h="16838"/>
          <w:pgMar w:top="1440" w:right="1474" w:bottom="1440" w:left="1531" w:header="851" w:footer="850" w:gutter="0"/>
          <w:pgNumType w:fmt="decimal"/>
          <w:cols w:space="0" w:num="1"/>
          <w:docGrid w:linePitch="312" w:charSpace="0"/>
        </w:sectPr>
      </w:pPr>
    </w:p>
    <w:p>
      <w:pPr>
        <w:ind w:firstLine="140" w:firstLineChars="50"/>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（三）综合实力</w:t>
      </w:r>
    </w:p>
    <w:p>
      <w:pPr>
        <w:rPr>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Cs w:val="21"/>
          <w:highlight w:val="none"/>
          <w:lang w:val="en-US" w:eastAsia="zh-CN"/>
        </w:rPr>
      </w:pPr>
      <w:r>
        <w:rPr>
          <w:rFonts w:hint="eastAsia" w:ascii="宋体" w:hAnsi="宋体" w:cs="宋体"/>
          <w:b/>
          <w:bCs/>
          <w:highlight w:val="none"/>
          <w:lang w:val="en-US" w:eastAsia="zh-CN"/>
        </w:rPr>
        <w:t>填写说明：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highlight w:val="none"/>
          <w:lang w:eastAsia="zh-CN"/>
        </w:rPr>
        <w:t>谈判单位</w:t>
      </w:r>
      <w:r>
        <w:rPr>
          <w:rFonts w:hint="eastAsia" w:ascii="宋体" w:hAnsi="宋体" w:cs="宋体"/>
          <w:color w:val="auto"/>
          <w:szCs w:val="21"/>
          <w:highlight w:val="none"/>
        </w:rPr>
        <w:t>具备有效的质量管理体系认证证书的</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highlight w:val="none"/>
          <w:lang w:eastAsia="zh-CN"/>
        </w:rPr>
        <w:t>谈判单位</w:t>
      </w:r>
      <w:r>
        <w:rPr>
          <w:rFonts w:hint="eastAsia" w:ascii="宋体" w:hAnsi="宋体" w:cs="宋体"/>
          <w:color w:val="auto"/>
          <w:szCs w:val="21"/>
          <w:highlight w:val="none"/>
        </w:rPr>
        <w:t>具备有效的职业健康安全管理体系认证证书的</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highlight w:val="none"/>
        </w:rPr>
      </w:pPr>
      <w:r>
        <w:rPr>
          <w:rFonts w:hint="eastAsia" w:ascii="宋体" w:hAnsi="宋体" w:cs="宋体"/>
          <w:color w:val="auto"/>
          <w:szCs w:val="21"/>
          <w:highlight w:val="none"/>
          <w:lang w:val="en-US" w:eastAsia="zh-CN"/>
        </w:rPr>
        <w:t>3.</w:t>
      </w:r>
      <w:r>
        <w:rPr>
          <w:rFonts w:hint="eastAsia" w:ascii="宋体" w:hAnsi="宋体" w:cs="宋体"/>
          <w:highlight w:val="none"/>
          <w:lang w:eastAsia="zh-CN"/>
        </w:rPr>
        <w:t>谈判单位</w:t>
      </w:r>
      <w:r>
        <w:rPr>
          <w:rFonts w:hint="eastAsia" w:ascii="宋体" w:hAnsi="宋体" w:cs="宋体"/>
          <w:color w:val="auto"/>
          <w:szCs w:val="21"/>
          <w:highlight w:val="none"/>
        </w:rPr>
        <w:t>具备有效的环境管理体系认证证书的。</w:t>
      </w:r>
    </w:p>
    <w:p>
      <w:pPr>
        <w:pStyle w:val="2"/>
        <w:ind w:left="0" w:leftChars="0" w:firstLine="0" w:firstLineChars="0"/>
        <w:rPr>
          <w:highlight w:val="none"/>
        </w:rPr>
      </w:pPr>
    </w:p>
    <w:p>
      <w:pPr>
        <w:rPr>
          <w:rFonts w:hint="eastAsia" w:eastAsia="宋体"/>
          <w:highlight w:val="none"/>
          <w:lang w:eastAsia="zh-CN"/>
        </w:rPr>
      </w:pPr>
      <w:r>
        <w:rPr>
          <w:rFonts w:hint="eastAsia"/>
          <w:highlight w:val="none"/>
          <w:lang w:eastAsia="zh-CN"/>
        </w:rPr>
        <w:t>总体按照顺序粘贴上述证书证明文件；无上述证书</w:t>
      </w:r>
      <w:r>
        <w:rPr>
          <w:rFonts w:hint="eastAsia" w:ascii="宋体" w:hAnsi="宋体" w:cs="宋体"/>
          <w:highlight w:val="none"/>
          <w:lang w:eastAsia="zh-CN"/>
        </w:rPr>
        <w:t>则填写“无”。</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adjustRightInd w:val="0"/>
        <w:snapToGrid w:val="0"/>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numPr>
          <w:ilvl w:val="0"/>
          <w:numId w:val="0"/>
        </w:numPr>
        <w:rPr>
          <w:rFonts w:hint="eastAsia" w:ascii="宋体" w:hAnsi="宋体" w:cs="宋体"/>
          <w:highlight w:val="none"/>
          <w:lang w:val="en-US" w:eastAsia="zh-CN"/>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2"/>
        <w:rPr>
          <w:highlight w:val="none"/>
        </w:rPr>
      </w:pPr>
    </w:p>
    <w:p>
      <w:pPr>
        <w:rPr>
          <w:highlight w:val="none"/>
        </w:rPr>
        <w:sectPr>
          <w:pgSz w:w="11906" w:h="16838"/>
          <w:pgMar w:top="1440" w:right="1474" w:bottom="1440" w:left="1531" w:header="851" w:footer="850" w:gutter="0"/>
          <w:pgNumType w:fmt="decimal"/>
          <w:cols w:space="0" w:num="1"/>
          <w:docGrid w:linePitch="312" w:charSpace="0"/>
        </w:sectPr>
      </w:pPr>
    </w:p>
    <w:p>
      <w:pPr>
        <w:pStyle w:val="2"/>
        <w:ind w:left="0" w:leftChars="0" w:firstLine="0" w:firstLineChars="0"/>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（四）人员配置</w:t>
      </w:r>
    </w:p>
    <w:p>
      <w:pPr>
        <w:pStyle w:val="2"/>
        <w:rPr>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Cs w:val="21"/>
          <w:highlight w:val="none"/>
          <w:lang w:val="en-US" w:eastAsia="zh-CN"/>
        </w:rPr>
      </w:pPr>
      <w:r>
        <w:rPr>
          <w:rFonts w:hint="eastAsia" w:ascii="宋体" w:hAnsi="宋体" w:cs="宋体"/>
          <w:b/>
          <w:bCs/>
          <w:highlight w:val="none"/>
          <w:lang w:val="en-US" w:eastAsia="zh-CN"/>
        </w:rPr>
        <w:t>填写说明：</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项目关键</w:t>
      </w:r>
      <w:r>
        <w:rPr>
          <w:rFonts w:ascii="宋体" w:hAnsi="宋体" w:cs="宋体"/>
          <w:color w:val="auto"/>
          <w:szCs w:val="21"/>
          <w:highlight w:val="none"/>
        </w:rPr>
        <w:t>岗位</w:t>
      </w:r>
      <w:r>
        <w:rPr>
          <w:rFonts w:hint="eastAsia" w:ascii="宋体" w:hAnsi="宋体" w:cs="宋体"/>
          <w:color w:val="auto"/>
          <w:szCs w:val="21"/>
          <w:highlight w:val="none"/>
        </w:rPr>
        <w:t>人员</w:t>
      </w:r>
      <w:r>
        <w:rPr>
          <w:rFonts w:ascii="宋体" w:hAnsi="宋体" w:cs="宋体"/>
          <w:color w:val="auto"/>
          <w:szCs w:val="21"/>
          <w:highlight w:val="none"/>
        </w:rPr>
        <w:t>配备满足本项目</w:t>
      </w:r>
      <w:r>
        <w:rPr>
          <w:rFonts w:hint="eastAsia" w:ascii="宋体" w:hAnsi="宋体" w:cs="宋体"/>
          <w:color w:val="auto"/>
          <w:szCs w:val="21"/>
          <w:highlight w:val="none"/>
        </w:rPr>
        <w:t>关键岗位</w:t>
      </w:r>
      <w:r>
        <w:rPr>
          <w:rFonts w:ascii="宋体" w:hAnsi="宋体" w:cs="宋体"/>
          <w:color w:val="auto"/>
          <w:szCs w:val="21"/>
          <w:highlight w:val="none"/>
        </w:rPr>
        <w:t>人员最低</w:t>
      </w:r>
      <w:r>
        <w:rPr>
          <w:rFonts w:hint="eastAsia" w:ascii="宋体" w:hAnsi="宋体" w:cs="宋体"/>
          <w:color w:val="auto"/>
          <w:szCs w:val="21"/>
          <w:highlight w:val="none"/>
        </w:rPr>
        <w:t>配备</w:t>
      </w:r>
      <w:r>
        <w:rPr>
          <w:rFonts w:ascii="宋体" w:hAnsi="宋体" w:cs="宋体"/>
          <w:color w:val="auto"/>
          <w:szCs w:val="21"/>
          <w:highlight w:val="none"/>
        </w:rPr>
        <w:t>要求</w:t>
      </w:r>
      <w:r>
        <w:rPr>
          <w:rFonts w:hint="eastAsia" w:ascii="宋体" w:hAnsi="宋体" w:cs="宋体"/>
          <w:color w:val="auto"/>
          <w:szCs w:val="21"/>
          <w:highlight w:val="none"/>
        </w:rPr>
        <w:t>基础上，</w:t>
      </w:r>
      <w:r>
        <w:rPr>
          <w:rFonts w:hint="eastAsia" w:ascii="宋体" w:hAnsi="宋体" w:cs="宋体"/>
          <w:color w:val="auto"/>
          <w:szCs w:val="21"/>
          <w:highlight w:val="none"/>
          <w:lang w:eastAsia="zh-CN"/>
        </w:rPr>
        <w:t>增加的</w:t>
      </w:r>
      <w:r>
        <w:rPr>
          <w:rFonts w:ascii="宋体" w:hAnsi="宋体" w:cs="宋体"/>
          <w:color w:val="auto"/>
          <w:szCs w:val="21"/>
          <w:highlight w:val="none"/>
        </w:rPr>
        <w:t>本项目</w:t>
      </w:r>
      <w:r>
        <w:rPr>
          <w:rFonts w:hint="eastAsia" w:ascii="宋体" w:hAnsi="宋体" w:cs="宋体"/>
          <w:color w:val="auto"/>
          <w:szCs w:val="21"/>
          <w:highlight w:val="none"/>
        </w:rPr>
        <w:t>关键岗位</w:t>
      </w:r>
      <w:r>
        <w:rPr>
          <w:rFonts w:ascii="宋体" w:hAnsi="宋体" w:cs="宋体"/>
          <w:color w:val="auto"/>
          <w:szCs w:val="21"/>
          <w:highlight w:val="none"/>
        </w:rPr>
        <w:t>人员</w:t>
      </w:r>
      <w:r>
        <w:rPr>
          <w:rFonts w:hint="eastAsia" w:ascii="宋体" w:hAnsi="宋体" w:cs="宋体"/>
          <w:color w:val="auto"/>
          <w:szCs w:val="21"/>
          <w:highlight w:val="none"/>
          <w:lang w:eastAsia="zh-CN"/>
        </w:rPr>
        <w:t>信息。</w:t>
      </w:r>
    </w:p>
    <w:p>
      <w:pPr>
        <w:rPr>
          <w:rFonts w:hint="eastAsia" w:ascii="宋体" w:hAnsi="宋体" w:cs="宋体"/>
          <w:color w:val="auto"/>
          <w:szCs w:val="21"/>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3750"/>
        <w:gridCol w:w="3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5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Cs w:val="21"/>
                <w:highlight w:val="none"/>
                <w:vertAlign w:val="baseline"/>
                <w:lang w:eastAsia="zh-CN"/>
              </w:rPr>
            </w:pPr>
            <w:r>
              <w:rPr>
                <w:rFonts w:hint="eastAsia" w:ascii="宋体" w:hAnsi="宋体" w:cs="宋体"/>
                <w:b/>
                <w:bCs/>
                <w:color w:val="auto"/>
                <w:szCs w:val="21"/>
                <w:highlight w:val="none"/>
                <w:vertAlign w:val="baseline"/>
                <w:lang w:eastAsia="zh-CN"/>
              </w:rPr>
              <w:t>序号</w:t>
            </w:r>
          </w:p>
        </w:tc>
        <w:tc>
          <w:tcPr>
            <w:tcW w:w="37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Cs w:val="21"/>
                <w:highlight w:val="none"/>
                <w:vertAlign w:val="baseline"/>
                <w:lang w:eastAsia="zh-CN"/>
              </w:rPr>
            </w:pPr>
            <w:r>
              <w:rPr>
                <w:rFonts w:hint="eastAsia" w:ascii="宋体" w:hAnsi="宋体" w:cs="宋体"/>
                <w:b/>
                <w:bCs/>
                <w:color w:val="auto"/>
                <w:szCs w:val="21"/>
                <w:highlight w:val="none"/>
                <w:vertAlign w:val="baseline"/>
                <w:lang w:eastAsia="zh-CN"/>
              </w:rPr>
              <w:t>增加的关键岗位人员姓名</w:t>
            </w:r>
          </w:p>
        </w:tc>
        <w:tc>
          <w:tcPr>
            <w:tcW w:w="38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bCs/>
                <w:color w:val="auto"/>
                <w:szCs w:val="21"/>
                <w:highlight w:val="none"/>
                <w:vertAlign w:val="baseline"/>
                <w:lang w:eastAsia="zh-CN"/>
              </w:rPr>
            </w:pPr>
            <w:r>
              <w:rPr>
                <w:rFonts w:hint="eastAsia" w:ascii="宋体" w:hAnsi="宋体" w:cs="宋体"/>
                <w:b/>
                <w:bCs/>
                <w:color w:val="auto"/>
                <w:szCs w:val="21"/>
                <w:highlight w:val="none"/>
                <w:vertAlign w:val="baseline"/>
                <w:lang w:eastAsia="zh-CN"/>
              </w:rPr>
              <w:t>增加的关键岗位人员拟任职务</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highlight w:val="none"/>
                <w:lang w:eastAsia="zh-CN"/>
              </w:rPr>
            </w:pPr>
            <w:r>
              <w:rPr>
                <w:rFonts w:hint="eastAsia" w:ascii="宋体" w:hAnsi="宋体" w:cs="宋体"/>
                <w:b/>
                <w:bCs/>
                <w:color w:val="auto"/>
                <w:szCs w:val="21"/>
                <w:highlight w:val="none"/>
                <w:vertAlign w:val="baseline"/>
                <w:lang w:eastAsia="zh-CN"/>
              </w:rPr>
              <w:t>（施工员或专职安全员）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w:t>
            </w:r>
          </w:p>
        </w:tc>
        <w:tc>
          <w:tcPr>
            <w:tcW w:w="37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highlight w:val="none"/>
                <w:vertAlign w:val="baseline"/>
              </w:rPr>
            </w:pPr>
          </w:p>
        </w:tc>
        <w:tc>
          <w:tcPr>
            <w:tcW w:w="38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24"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w:t>
            </w:r>
          </w:p>
        </w:tc>
        <w:tc>
          <w:tcPr>
            <w:tcW w:w="3750"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highlight w:val="none"/>
                <w:vertAlign w:val="baseline"/>
              </w:rPr>
            </w:pPr>
          </w:p>
        </w:tc>
        <w:tc>
          <w:tcPr>
            <w:tcW w:w="384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highlight w:val="none"/>
                <w:vertAlign w:val="baseline"/>
              </w:rPr>
            </w:pPr>
          </w:p>
        </w:tc>
      </w:tr>
    </w:tbl>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注：本表中增加的人员须在上述“</w:t>
      </w:r>
      <w:r>
        <w:rPr>
          <w:rFonts w:hint="eastAsia" w:ascii="宋体" w:hAnsi="宋体" w:cs="宋体"/>
          <w:color w:val="auto"/>
          <w:szCs w:val="21"/>
          <w:highlight w:val="none"/>
          <w:lang w:val="en-US" w:eastAsia="zh-CN"/>
        </w:rPr>
        <w:t>关键岗位人员配备表</w:t>
      </w:r>
      <w:r>
        <w:rPr>
          <w:rFonts w:hint="eastAsia" w:ascii="宋体" w:hAnsi="宋体" w:cs="宋体"/>
          <w:color w:val="auto"/>
          <w:szCs w:val="21"/>
          <w:highlight w:val="none"/>
          <w:lang w:eastAsia="zh-CN"/>
        </w:rPr>
        <w:t>”中体现。</w:t>
      </w:r>
    </w:p>
    <w:p>
      <w:pPr>
        <w:pStyle w:val="2"/>
        <w:ind w:left="0" w:leftChars="0" w:firstLine="0" w:firstLineChars="0"/>
        <w:rPr>
          <w:highlight w:val="none"/>
        </w:rPr>
      </w:pPr>
    </w:p>
    <w:p>
      <w:pPr>
        <w:rPr>
          <w:highlight w:val="none"/>
        </w:rPr>
      </w:pPr>
    </w:p>
    <w:p>
      <w:pPr>
        <w:pStyle w:val="2"/>
        <w:ind w:left="0" w:leftChars="0" w:firstLine="0" w:firstLineChars="0"/>
        <w:rPr>
          <w:highlight w:val="none"/>
        </w:rPr>
      </w:pPr>
    </w:p>
    <w:p>
      <w:pPr>
        <w:rPr>
          <w:highlight w:val="none"/>
        </w:rPr>
      </w:pPr>
    </w:p>
    <w:p>
      <w:pPr>
        <w:pStyle w:val="2"/>
        <w:ind w:left="0" w:leftChars="0" w:firstLine="0" w:firstLineChars="0"/>
        <w:rPr>
          <w:highlight w:val="none"/>
        </w:rPr>
      </w:pPr>
    </w:p>
    <w:p>
      <w:pPr>
        <w:adjustRightInd w:val="0"/>
        <w:snapToGrid w:val="0"/>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rPr>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2"/>
        <w:rPr>
          <w:highlight w:val="none"/>
        </w:rPr>
      </w:pPr>
    </w:p>
    <w:p>
      <w:pPr>
        <w:rPr>
          <w:highlight w:val="none"/>
        </w:rPr>
      </w:pPr>
    </w:p>
    <w:p>
      <w:pPr>
        <w:pStyle w:val="2"/>
        <w:rPr>
          <w:highlight w:val="none"/>
        </w:rPr>
      </w:pPr>
    </w:p>
    <w:p>
      <w:pPr>
        <w:rPr>
          <w:highlight w:val="none"/>
        </w:rPr>
        <w:sectPr>
          <w:pgSz w:w="11906" w:h="16838"/>
          <w:pgMar w:top="1440" w:right="1474" w:bottom="1440" w:left="1531" w:header="851" w:footer="850" w:gutter="0"/>
          <w:pgNumType w:fmt="decimal"/>
          <w:cols w:space="0" w:num="1"/>
          <w:docGrid w:linePitch="312" w:charSpace="0"/>
        </w:sectPr>
      </w:pPr>
    </w:p>
    <w:p>
      <w:pPr>
        <w:pStyle w:val="2"/>
        <w:ind w:left="0" w:leftChars="0" w:firstLine="0" w:firstLineChars="0"/>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（五）不良行为记录</w:t>
      </w:r>
    </w:p>
    <w:p>
      <w:pPr>
        <w:pStyle w:val="2"/>
        <w:ind w:left="0" w:leftChars="0" w:firstLine="0" w:firstLineChars="0"/>
        <w:rPr>
          <w:highlight w:val="none"/>
        </w:rPr>
      </w:pPr>
    </w:p>
    <w:p>
      <w:pPr>
        <w:pStyle w:val="2"/>
        <w:ind w:left="0" w:leftChars="0" w:firstLine="0" w:firstLineChars="0"/>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填写说明：</w:t>
      </w:r>
    </w:p>
    <w:p>
      <w:pPr>
        <w:pStyle w:val="2"/>
        <w:ind w:left="0" w:leftChars="0" w:firstLine="0" w:firstLineChars="0"/>
        <w:rPr>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不良行为记录包括工程质量、安全生产、市场行为等方面的情况。湖南省住房和城乡建设厅发布的《湖南省建筑市场责任主体不良行为记录》是确认本省行政区域内不良行为记录的依据。</w:t>
      </w:r>
      <w:r>
        <w:rPr>
          <w:rFonts w:hint="eastAsia" w:ascii="宋体" w:hAnsi="宋体" w:cs="宋体"/>
          <w:color w:val="auto"/>
          <w:szCs w:val="21"/>
          <w:highlight w:val="none"/>
          <w:lang w:eastAsia="zh-CN"/>
        </w:rPr>
        <w:t>谈判单位</w:t>
      </w:r>
      <w:r>
        <w:rPr>
          <w:rFonts w:hint="eastAsia" w:ascii="宋体" w:hAnsi="宋体" w:cs="宋体"/>
          <w:color w:val="auto"/>
          <w:szCs w:val="21"/>
          <w:highlight w:val="none"/>
        </w:rPr>
        <w:t>和拟任项目负责人不良行为记录扣分有效期为180天，自湖南省住房和城乡建设厅公布之日起至提交</w:t>
      </w:r>
      <w:r>
        <w:rPr>
          <w:rFonts w:hint="eastAsia" w:ascii="宋体" w:hAnsi="宋体" w:cs="宋体"/>
          <w:color w:val="auto"/>
          <w:szCs w:val="21"/>
          <w:highlight w:val="none"/>
          <w:lang w:eastAsia="zh-CN"/>
        </w:rPr>
        <w:t>谈判响应</w:t>
      </w:r>
      <w:r>
        <w:rPr>
          <w:rFonts w:hint="eastAsia" w:ascii="宋体" w:hAnsi="宋体" w:cs="宋体"/>
          <w:color w:val="auto"/>
          <w:szCs w:val="21"/>
          <w:highlight w:val="none"/>
        </w:rPr>
        <w:t>文件截止之日止。</w:t>
      </w:r>
    </w:p>
    <w:p>
      <w:pPr>
        <w:pStyle w:val="2"/>
        <w:ind w:left="0" w:leftChars="0" w:firstLine="0" w:firstLine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2.请谈判单位如实填写，存在无不良行为记录的提供可查证的截图信息；若无不良行为记录的，则填写“无”。</w:t>
      </w:r>
    </w:p>
    <w:p>
      <w:pPr>
        <w:rPr>
          <w:highlight w:val="none"/>
        </w:rPr>
      </w:pPr>
    </w:p>
    <w:p>
      <w:pPr>
        <w:pStyle w:val="2"/>
        <w:ind w:left="0" w:leftChars="0" w:firstLine="0" w:firstLineChars="0"/>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ind w:left="0" w:leftChars="0" w:firstLine="0" w:firstLineChars="0"/>
        <w:rPr>
          <w:highlight w:val="none"/>
        </w:rPr>
      </w:pPr>
    </w:p>
    <w:p>
      <w:pPr>
        <w:adjustRightInd w:val="0"/>
        <w:snapToGrid w:val="0"/>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rPr>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2"/>
        <w:ind w:left="0" w:leftChars="0" w:firstLine="0" w:firstLineChars="0"/>
        <w:rPr>
          <w:highlight w:val="none"/>
        </w:rPr>
      </w:pPr>
    </w:p>
    <w:p>
      <w:pPr>
        <w:rPr>
          <w:highlight w:val="none"/>
        </w:rPr>
        <w:sectPr>
          <w:pgSz w:w="11906" w:h="16838"/>
          <w:pgMar w:top="1440" w:right="1474" w:bottom="1440" w:left="1531" w:header="851" w:footer="850" w:gutter="0"/>
          <w:pgNumType w:fmt="decimal"/>
          <w:cols w:space="0" w:num="1"/>
          <w:docGrid w:linePitch="312" w:charSpace="0"/>
        </w:sectPr>
      </w:pP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1"/>
        <w:rPr>
          <w:rFonts w:hint="eastAsia" w:ascii="宋体" w:hAnsi="宋体" w:cs="宋体"/>
          <w:b/>
          <w:color w:val="auto"/>
          <w:kern w:val="2"/>
          <w:sz w:val="32"/>
          <w:szCs w:val="32"/>
          <w:highlight w:val="none"/>
          <w:lang w:val="en-US" w:eastAsia="zh-CN" w:bidi="ar-SA"/>
        </w:rPr>
      </w:pPr>
      <w:bookmarkStart w:id="135" w:name="_Toc28857"/>
      <w:r>
        <w:rPr>
          <w:rFonts w:hint="eastAsia" w:ascii="宋体" w:hAnsi="宋体" w:cs="宋体"/>
          <w:b/>
          <w:color w:val="auto"/>
          <w:kern w:val="2"/>
          <w:sz w:val="32"/>
          <w:szCs w:val="32"/>
          <w:highlight w:val="none"/>
          <w:lang w:val="en-US" w:eastAsia="zh-CN" w:bidi="ar-SA"/>
        </w:rPr>
        <w:t>七、技术</w:t>
      </w:r>
      <w:r>
        <w:rPr>
          <w:rFonts w:hint="eastAsia" w:ascii="宋体" w:hAnsi="宋体" w:eastAsia="宋体" w:cs="宋体"/>
          <w:b/>
          <w:color w:val="auto"/>
          <w:kern w:val="2"/>
          <w:sz w:val="32"/>
          <w:szCs w:val="32"/>
          <w:highlight w:val="none"/>
          <w:lang w:val="en-US" w:eastAsia="zh-CN" w:bidi="ar-SA"/>
        </w:rPr>
        <w:t>详细</w:t>
      </w:r>
      <w:r>
        <w:rPr>
          <w:rFonts w:hint="eastAsia" w:ascii="宋体" w:hAnsi="宋体" w:cs="宋体"/>
          <w:b/>
          <w:color w:val="auto"/>
          <w:kern w:val="2"/>
          <w:sz w:val="32"/>
          <w:szCs w:val="32"/>
          <w:highlight w:val="none"/>
          <w:lang w:val="en-US" w:eastAsia="zh-CN" w:bidi="ar-SA"/>
        </w:rPr>
        <w:t>评审证明文件</w:t>
      </w:r>
      <w:bookmarkEnd w:id="135"/>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（一）施工方案与技术措施</w:t>
      </w: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highlight w:val="none"/>
        </w:rPr>
      </w:pPr>
    </w:p>
    <w:p>
      <w:pPr>
        <w:keepNext w:val="0"/>
        <w:keepLines w:val="0"/>
        <w:pageBreakBefore w:val="0"/>
        <w:widowControl w:val="0"/>
        <w:kinsoku/>
        <w:wordWrap/>
        <w:overflowPunct/>
        <w:topLinePunct w:val="0"/>
        <w:autoSpaceDE/>
        <w:autoSpaceDN/>
        <w:bidi w:val="0"/>
        <w:adjustRightInd/>
        <w:snapToGrid/>
        <w:textAlignment w:val="auto"/>
        <w:rPr>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（二）质量管理体系与措施</w:t>
      </w:r>
    </w:p>
    <w:p>
      <w:pPr>
        <w:keepNext w:val="0"/>
        <w:keepLines w:val="0"/>
        <w:pageBreakBefore w:val="0"/>
        <w:widowControl w:val="0"/>
        <w:kinsoku/>
        <w:wordWrap/>
        <w:overflowPunct/>
        <w:topLinePunct w:val="0"/>
        <w:autoSpaceDE/>
        <w:autoSpaceDN/>
        <w:bidi w:val="0"/>
        <w:adjustRightInd/>
        <w:snapToGrid/>
        <w:textAlignment w:val="auto"/>
        <w:rPr>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highlight w:val="none"/>
        </w:rPr>
      </w:pP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（三）安全管理体系与措施</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（四）工程进度计划与保证措施</w:t>
      </w:r>
    </w:p>
    <w:p>
      <w:pPr>
        <w:keepNext w:val="0"/>
        <w:keepLines w:val="0"/>
        <w:pageBreakBefore w:val="0"/>
        <w:widowControl w:val="0"/>
        <w:kinsoku/>
        <w:wordWrap/>
        <w:overflowPunct/>
        <w:topLinePunct w:val="0"/>
        <w:autoSpaceDE/>
        <w:autoSpaceDN/>
        <w:bidi w:val="0"/>
        <w:adjustRightInd/>
        <w:snapToGrid/>
        <w:textAlignment w:val="auto"/>
        <w:rPr>
          <w:highlight w:val="none"/>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楷体_GB2312" w:hAnsi="楷体_GB2312" w:eastAsia="楷体_GB2312" w:cs="楷体_GB2312"/>
          <w:color w:val="auto"/>
          <w:kern w:val="2"/>
          <w:sz w:val="28"/>
          <w:szCs w:val="28"/>
          <w:highlight w:val="none"/>
          <w:lang w:val="en-US" w:eastAsia="zh-CN" w:bidi="ar-SA"/>
        </w:rPr>
      </w:pPr>
      <w:r>
        <w:rPr>
          <w:rFonts w:hint="eastAsia" w:ascii="楷体_GB2312" w:hAnsi="楷体_GB2312" w:eastAsia="楷体_GB2312" w:cs="楷体_GB2312"/>
          <w:color w:val="auto"/>
          <w:kern w:val="2"/>
          <w:sz w:val="28"/>
          <w:szCs w:val="28"/>
          <w:highlight w:val="none"/>
          <w:lang w:val="en-US" w:eastAsia="zh-CN" w:bidi="ar-SA"/>
        </w:rPr>
        <w:t>（五）环境保护管理体系与措施</w:t>
      </w:r>
    </w:p>
    <w:p>
      <w:pPr>
        <w:pStyle w:val="2"/>
        <w:ind w:left="0" w:leftChars="0" w:firstLine="0" w:firstLineChars="0"/>
        <w:rPr>
          <w:highlight w:val="none"/>
        </w:rPr>
      </w:pPr>
    </w:p>
    <w:p>
      <w:pPr>
        <w:rPr>
          <w:highlight w:val="none"/>
        </w:rPr>
      </w:pPr>
    </w:p>
    <w:p>
      <w:pPr>
        <w:rPr>
          <w:highlight w:val="none"/>
        </w:rPr>
      </w:pPr>
    </w:p>
    <w:p>
      <w:pPr>
        <w:pStyle w:val="28"/>
        <w:adjustRightInd w:val="0"/>
        <w:snapToGrid w:val="0"/>
        <w:spacing w:line="360" w:lineRule="auto"/>
        <w:rPr>
          <w:rFonts w:ascii="宋体" w:hAnsi="宋体" w:cs="宋体"/>
          <w:bCs/>
          <w:color w:val="auto"/>
          <w:sz w:val="21"/>
          <w:szCs w:val="21"/>
          <w:highlight w:val="none"/>
        </w:rPr>
      </w:pPr>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    </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法定代表人或其委托代理人(签字或盖章)：</w:t>
      </w:r>
      <w:r>
        <w:rPr>
          <w:rFonts w:hint="eastAsia" w:ascii="宋体" w:hAnsi="宋体" w:cs="宋体"/>
          <w:color w:val="auto"/>
          <w:szCs w:val="21"/>
          <w:highlight w:val="none"/>
          <w:u w:val="single"/>
        </w:rPr>
        <w:t xml:space="preserve">               </w:t>
      </w:r>
    </w:p>
    <w:p>
      <w:pPr>
        <w:rPr>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2"/>
        <w:ind w:left="0" w:leftChars="0" w:firstLine="0" w:firstLineChars="0"/>
        <w:rPr>
          <w:highlight w:val="none"/>
        </w:rPr>
      </w:pPr>
    </w:p>
    <w:p>
      <w:pPr>
        <w:pStyle w:val="2"/>
        <w:ind w:left="0" w:leftChars="0" w:firstLine="0" w:firstLineChars="0"/>
        <w:rPr>
          <w:highlight w:val="none"/>
        </w:rPr>
      </w:pPr>
    </w:p>
    <w:p>
      <w:pPr>
        <w:pStyle w:val="2"/>
        <w:keepNext w:val="0"/>
        <w:keepLines w:val="0"/>
        <w:pageBreakBefore w:val="0"/>
        <w:widowControl w:val="0"/>
        <w:kinsoku/>
        <w:wordWrap/>
        <w:overflowPunct/>
        <w:topLinePunct w:val="0"/>
        <w:autoSpaceDE/>
        <w:autoSpaceDN/>
        <w:bidi w:val="0"/>
        <w:textAlignment w:val="auto"/>
        <w:outlineLvl w:val="9"/>
        <w:rPr>
          <w:color w:val="auto"/>
          <w:highlight w:val="none"/>
        </w:rPr>
        <w:sectPr>
          <w:pgSz w:w="11906" w:h="16838"/>
          <w:pgMar w:top="1440" w:right="1474" w:bottom="1440" w:left="1531" w:header="851" w:footer="850" w:gutter="0"/>
          <w:pgNumType w:fmt="decimal"/>
          <w:cols w:space="0" w:num="1"/>
          <w:docGrid w:linePitch="312" w:charSpace="0"/>
        </w:sectPr>
      </w:pPr>
    </w:p>
    <w:p>
      <w:pPr>
        <w:adjustRightInd w:val="0"/>
        <w:snapToGrid w:val="0"/>
        <w:spacing w:line="360" w:lineRule="auto"/>
        <w:ind w:right="24"/>
        <w:jc w:val="center"/>
        <w:outlineLvl w:val="1"/>
        <w:rPr>
          <w:rFonts w:ascii="宋体" w:hAnsi="宋体" w:cs="宋体"/>
          <w:b/>
          <w:color w:val="auto"/>
          <w:sz w:val="28"/>
          <w:szCs w:val="28"/>
          <w:highlight w:val="none"/>
        </w:rPr>
      </w:pPr>
      <w:bookmarkStart w:id="136" w:name="_Toc29319"/>
      <w:bookmarkStart w:id="137" w:name="_Toc25553"/>
      <w:bookmarkStart w:id="138" w:name="_Toc15835"/>
      <w:bookmarkStart w:id="139" w:name="_Toc5387"/>
      <w:bookmarkStart w:id="140" w:name="_Toc24761"/>
      <w:r>
        <w:rPr>
          <w:rFonts w:hint="eastAsia" w:ascii="宋体" w:hAnsi="宋体" w:cs="宋体"/>
          <w:b/>
          <w:color w:val="auto"/>
          <w:sz w:val="32"/>
          <w:szCs w:val="32"/>
          <w:highlight w:val="none"/>
          <w:lang w:eastAsia="zh-CN"/>
        </w:rPr>
        <w:t>八</w:t>
      </w:r>
      <w:r>
        <w:rPr>
          <w:rFonts w:hint="eastAsia" w:ascii="宋体" w:hAnsi="宋体" w:cs="宋体"/>
          <w:b/>
          <w:color w:val="auto"/>
          <w:sz w:val="32"/>
          <w:szCs w:val="32"/>
          <w:highlight w:val="none"/>
        </w:rPr>
        <w:t>、报价一览表</w:t>
      </w:r>
      <w:bookmarkEnd w:id="136"/>
      <w:bookmarkEnd w:id="137"/>
      <w:bookmarkEnd w:id="138"/>
      <w:bookmarkEnd w:id="139"/>
      <w:bookmarkEnd w:id="140"/>
    </w:p>
    <w:tbl>
      <w:tblPr>
        <w:tblStyle w:val="47"/>
        <w:tblW w:w="91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4"/>
        <w:gridCol w:w="2429"/>
        <w:gridCol w:w="2013"/>
        <w:gridCol w:w="23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344"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项目名称</w:t>
            </w:r>
          </w:p>
        </w:tc>
        <w:tc>
          <w:tcPr>
            <w:tcW w:w="6826" w:type="dxa"/>
            <w:gridSpan w:val="3"/>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Fonts w:hint="eastAsia" w:ascii="Times New Roman" w:hAnsi="Times New Roman" w:eastAsia="宋体" w:cs="Times New Roman"/>
                <w:color w:val="000000"/>
                <w:kern w:val="2"/>
                <w:sz w:val="21"/>
                <w:szCs w:val="21"/>
                <w:highlight w:val="none"/>
                <w:u w:val="none"/>
                <w:lang w:val="en-US" w:eastAsia="zh-CN" w:bidi="ar-SA"/>
              </w:rPr>
              <w:t>长沙市轨道交通2号线一期工程运营期车站出入口硅纤板改造工程项目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项目编号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Style w:val="56"/>
                <w:rFonts w:hint="eastAsia"/>
                <w:color w:val="auto"/>
                <w:kern w:val="0"/>
                <w:highlight w:val="none"/>
                <w:u w:val="none"/>
                <w:shd w:val="clear" w:color="auto" w:fill="FFFFFF"/>
              </w:rPr>
              <w:t>长轨运工采【20</w:t>
            </w:r>
            <w:r>
              <w:rPr>
                <w:rStyle w:val="56"/>
                <w:rFonts w:hint="eastAsia"/>
                <w:color w:val="auto"/>
                <w:kern w:val="0"/>
                <w:highlight w:val="none"/>
                <w:u w:val="none"/>
                <w:shd w:val="clear" w:color="auto" w:fill="FFFFFF"/>
                <w:lang w:val="en-US" w:eastAsia="zh-CN"/>
              </w:rPr>
              <w:t>23</w:t>
            </w:r>
            <w:r>
              <w:rPr>
                <w:rStyle w:val="56"/>
                <w:rFonts w:hint="eastAsia"/>
                <w:color w:val="auto"/>
                <w:kern w:val="0"/>
                <w:highlight w:val="none"/>
                <w:u w:val="none"/>
                <w:shd w:val="clear" w:color="auto" w:fill="FFFFFF"/>
              </w:rPr>
              <w:t>】</w:t>
            </w:r>
            <w:r>
              <w:rPr>
                <w:rStyle w:val="56"/>
                <w:rFonts w:hint="eastAsia"/>
                <w:color w:val="auto"/>
                <w:kern w:val="0"/>
                <w:highlight w:val="none"/>
                <w:u w:val="none"/>
                <w:shd w:val="clear" w:color="auto" w:fill="FFFFFF"/>
                <w:lang w:val="en-US" w:eastAsia="zh-CN"/>
              </w:rPr>
              <w:t>001</w:t>
            </w:r>
            <w:r>
              <w:rPr>
                <w:rStyle w:val="56"/>
                <w:rFonts w:hint="eastAsia"/>
                <w:color w:val="auto"/>
                <w:kern w:val="0"/>
                <w:highlight w:val="none"/>
                <w:u w:val="none"/>
                <w:shd w:val="clear" w:color="auto" w:fill="FFFFFF"/>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0"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工期承诺</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0000FF"/>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保修承诺</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0000FF"/>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质量等级</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0000FF"/>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拟任项目负责人</w:t>
            </w:r>
          </w:p>
        </w:tc>
        <w:tc>
          <w:tcPr>
            <w:tcW w:w="2429"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c>
          <w:tcPr>
            <w:tcW w:w="2013"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color w:val="auto"/>
                <w:szCs w:val="21"/>
                <w:highlight w:val="none"/>
              </w:rPr>
            </w:pPr>
            <w:r>
              <w:rPr>
                <w:rFonts w:hint="eastAsia" w:ascii="宋体" w:hAnsi="宋体" w:cs="宋体"/>
                <w:b/>
                <w:bCs/>
                <w:color w:val="auto"/>
                <w:szCs w:val="21"/>
                <w:highlight w:val="none"/>
              </w:rPr>
              <w:t>注册专业及等级</w:t>
            </w:r>
          </w:p>
        </w:tc>
        <w:tc>
          <w:tcPr>
            <w:tcW w:w="2384"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344"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谈判不含增值税总报价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u w:val="singl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2344" w:type="dxa"/>
            <w:vMerge w:val="continue"/>
            <w:tcBorders>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2344" w:type="dxa"/>
            <w:tcBorders>
              <w:left w:val="single" w:color="auto" w:sz="12" w:space="0"/>
              <w:bottom w:val="single" w:color="auto" w:sz="6" w:space="0"/>
              <w:right w:val="single" w:color="auto" w:sz="6" w:space="0"/>
            </w:tcBorders>
            <w:vAlign w:val="center"/>
          </w:tcPr>
          <w:p>
            <w:pPr>
              <w:spacing w:line="420" w:lineRule="exact"/>
              <w:jc w:val="center"/>
              <w:rPr>
                <w:rFonts w:ascii="宋体" w:hAnsi="宋体"/>
                <w:b/>
                <w:bCs/>
                <w:color w:val="auto"/>
                <w:szCs w:val="21"/>
                <w:highlight w:val="none"/>
              </w:rPr>
            </w:pPr>
            <w:r>
              <w:rPr>
                <w:rFonts w:hint="eastAsia" w:ascii="宋体" w:hAnsi="宋体"/>
                <w:b/>
                <w:bCs/>
                <w:color w:val="auto"/>
                <w:szCs w:val="21"/>
                <w:highlight w:val="none"/>
              </w:rPr>
              <w:t>税费</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spacing w:line="420" w:lineRule="exact"/>
              <w:jc w:val="left"/>
              <w:rPr>
                <w:rFonts w:ascii="宋体" w:hAnsi="宋体"/>
                <w:color w:val="auto"/>
                <w:szCs w:val="21"/>
                <w:highlight w:val="none"/>
              </w:rPr>
            </w:pPr>
            <w:r>
              <w:rPr>
                <w:rFonts w:hint="eastAsia" w:ascii="宋体" w:hAnsi="宋体" w:cs="宋体"/>
                <w:color w:val="auto"/>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0" w:hRule="atLeast"/>
          <w:jc w:val="center"/>
        </w:trPr>
        <w:tc>
          <w:tcPr>
            <w:tcW w:w="2344"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增值税税率</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2344" w:type="dxa"/>
            <w:vMerge w:val="restart"/>
            <w:tcBorders>
              <w:top w:val="single" w:color="auto" w:sz="6" w:space="0"/>
              <w:left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谈判总报价</w:t>
            </w: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大写：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2344" w:type="dxa"/>
            <w:vMerge w:val="continue"/>
            <w:tcBorders>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p>
        </w:tc>
        <w:tc>
          <w:tcPr>
            <w:tcW w:w="6826"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rPr>
                <w:rFonts w:ascii="宋体" w:hAnsi="宋体" w:cs="宋体"/>
                <w:color w:val="auto"/>
                <w:szCs w:val="21"/>
                <w:highlight w:val="none"/>
              </w:rPr>
            </w:pPr>
            <w:r>
              <w:rPr>
                <w:rFonts w:hint="eastAsia" w:ascii="宋体" w:hAnsi="宋体" w:cs="宋体"/>
                <w:color w:val="auto"/>
                <w:szCs w:val="21"/>
                <w:highlight w:val="none"/>
              </w:rPr>
              <w:t>小写：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0" w:hRule="atLeast"/>
          <w:jc w:val="center"/>
        </w:trPr>
        <w:tc>
          <w:tcPr>
            <w:tcW w:w="2344"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b/>
                <w:bCs/>
                <w:color w:val="auto"/>
                <w:szCs w:val="21"/>
                <w:highlight w:val="none"/>
              </w:rPr>
            </w:pPr>
            <w:r>
              <w:rPr>
                <w:rFonts w:hint="eastAsia" w:ascii="宋体" w:hAnsi="宋体" w:cs="宋体"/>
                <w:b/>
                <w:bCs/>
                <w:color w:val="auto"/>
                <w:szCs w:val="21"/>
                <w:highlight w:val="none"/>
              </w:rPr>
              <w:t>备  注</w:t>
            </w:r>
          </w:p>
        </w:tc>
        <w:tc>
          <w:tcPr>
            <w:tcW w:w="6826" w:type="dxa"/>
            <w:gridSpan w:val="3"/>
            <w:tcBorders>
              <w:top w:val="single" w:color="auto" w:sz="6" w:space="0"/>
              <w:left w:val="single" w:color="auto" w:sz="6" w:space="0"/>
              <w:bottom w:val="single" w:color="auto" w:sz="12"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color w:val="auto"/>
                <w:szCs w:val="21"/>
                <w:highlight w:val="none"/>
              </w:rPr>
            </w:pPr>
          </w:p>
        </w:tc>
      </w:tr>
    </w:tbl>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2.本表内“谈判总报价”是包含了所有隐含的管理费、税金和利润等其他费用的报价。</w:t>
      </w:r>
    </w:p>
    <w:p>
      <w:pPr>
        <w:pStyle w:val="2"/>
        <w:keepNext w:val="0"/>
        <w:keepLines w:val="0"/>
        <w:pageBreakBefore w:val="0"/>
        <w:widowControl w:val="0"/>
        <w:kinsoku/>
        <w:wordWrap/>
        <w:overflowPunct/>
        <w:topLinePunct w:val="0"/>
        <w:autoSpaceDE/>
        <w:autoSpaceDN/>
        <w:bidi w:val="0"/>
        <w:adjustRightInd/>
        <w:snapToGrid/>
        <w:ind w:left="0" w:leftChars="0" w:firstLine="422" w:firstLineChars="200"/>
        <w:textAlignment w:val="auto"/>
        <w:rPr>
          <w:rFonts w:ascii="宋体" w:hAnsi="宋体" w:cs="宋体"/>
          <w:b/>
          <w:color w:val="auto"/>
          <w:szCs w:val="21"/>
          <w:highlight w:val="none"/>
        </w:rPr>
      </w:pPr>
      <w:r>
        <w:rPr>
          <w:rFonts w:hint="eastAsia" w:ascii="宋体" w:hAnsi="宋体" w:cs="宋体"/>
          <w:b/>
          <w:color w:val="auto"/>
          <w:szCs w:val="21"/>
          <w:highlight w:val="none"/>
        </w:rPr>
        <w:t>3.本项目设置最高限价，谈判单位所报总价不能超过最高限价，不超过最高限价的谈判总报价为有效报价。</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4.本项目谈判报价评审时，以“谈判不含增值税总报价”进行评审。</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5.本项目谈判总报价为含税总价（即谈判不含税增值税总报价与税费之和）。谈判单位在填写谈判报价时应当注意区分“谈判不含增值税总价”“税费”“谈判总报价”。</w:t>
      </w:r>
    </w:p>
    <w:p>
      <w:pPr>
        <w:pStyle w:val="46"/>
        <w:ind w:left="0" w:leftChars="0" w:firstLine="422" w:firstLineChars="200"/>
        <w:rPr>
          <w:color w:val="auto"/>
          <w:highlight w:val="none"/>
        </w:rPr>
      </w:pPr>
      <w:r>
        <w:rPr>
          <w:rFonts w:hint="eastAsia" w:ascii="宋体" w:hAnsi="宋体"/>
          <w:b/>
          <w:color w:val="auto"/>
          <w:szCs w:val="21"/>
          <w:highlight w:val="none"/>
        </w:rPr>
        <w:t>6.本项目报价须满足“谈判不含增值税总报价=谈判总报价/（1+增值税税率）”。</w:t>
      </w:r>
    </w:p>
    <w:p>
      <w:pPr>
        <w:adjustRightInd w:val="0"/>
        <w:snapToGrid w:val="0"/>
        <w:spacing w:line="360" w:lineRule="auto"/>
        <w:ind w:left="-88" w:leftChars="-42"/>
        <w:rPr>
          <w:rFonts w:ascii="宋体" w:hAnsi="宋体" w:cs="宋体"/>
          <w:color w:val="auto"/>
          <w:szCs w:val="21"/>
          <w:highlight w:val="none"/>
        </w:rPr>
      </w:pPr>
    </w:p>
    <w:p>
      <w:pPr>
        <w:pStyle w:val="28"/>
        <w:adjustRightInd w:val="0"/>
        <w:snapToGrid w:val="0"/>
        <w:spacing w:line="360" w:lineRule="auto"/>
        <w:rPr>
          <w:rFonts w:ascii="宋体" w:hAnsi="宋体" w:cs="宋体"/>
          <w:bCs/>
          <w:color w:val="auto"/>
          <w:sz w:val="21"/>
          <w:szCs w:val="21"/>
          <w:highlight w:val="none"/>
        </w:rPr>
      </w:pPr>
      <w:bookmarkStart w:id="141" w:name="_Toc5231"/>
      <w:r>
        <w:rPr>
          <w:rFonts w:hint="eastAsia" w:ascii="宋体" w:hAnsi="宋体" w:cs="宋体"/>
          <w:color w:val="auto"/>
          <w:sz w:val="21"/>
          <w:szCs w:val="21"/>
          <w:highlight w:val="none"/>
        </w:rPr>
        <w:t>谈判单位名称：</w:t>
      </w:r>
      <w:r>
        <w:rPr>
          <w:rFonts w:hint="eastAsia" w:ascii="宋体" w:hAnsi="宋体" w:cs="宋体"/>
          <w:color w:val="auto"/>
          <w:sz w:val="21"/>
          <w:szCs w:val="21"/>
          <w:highlight w:val="none"/>
          <w:u w:val="single"/>
        </w:rPr>
        <w:t xml:space="preserve">    （盖单位章）</w:t>
      </w:r>
      <w:bookmarkEnd w:id="141"/>
      <w:r>
        <w:rPr>
          <w:rFonts w:hint="eastAsia" w:ascii="宋体" w:hAnsi="宋体" w:cs="宋体"/>
          <w:color w:val="auto"/>
          <w:sz w:val="21"/>
          <w:szCs w:val="21"/>
          <w:highlight w:val="none"/>
          <w:u w:val="single"/>
        </w:rPr>
        <w:t xml:space="preserve">    </w:t>
      </w:r>
    </w:p>
    <w:p>
      <w:pPr>
        <w:adjustRightInd w:val="0"/>
        <w:snapToGrid w:val="0"/>
        <w:spacing w:line="360" w:lineRule="auto"/>
        <w:rPr>
          <w:rFonts w:ascii="宋体" w:hAnsi="宋体" w:cs="宋体"/>
          <w:color w:val="auto"/>
          <w:szCs w:val="21"/>
          <w:highlight w:val="none"/>
        </w:rPr>
      </w:pPr>
      <w:bookmarkStart w:id="142" w:name="_Toc28605"/>
      <w:r>
        <w:rPr>
          <w:rFonts w:hint="eastAsia" w:ascii="宋体" w:hAnsi="宋体" w:cs="宋体"/>
          <w:color w:val="auto"/>
          <w:szCs w:val="21"/>
          <w:highlight w:val="none"/>
        </w:rPr>
        <w:t>法定代表人或其委托代理人(签字或盖章)：</w:t>
      </w:r>
      <w:bookmarkEnd w:id="142"/>
      <w:r>
        <w:rPr>
          <w:rFonts w:hint="eastAsia" w:ascii="宋体" w:hAnsi="宋体" w:cs="宋体"/>
          <w:color w:val="auto"/>
          <w:szCs w:val="21"/>
          <w:highlight w:val="none"/>
          <w:u w:val="single"/>
        </w:rPr>
        <w:t xml:space="preserve">               </w:t>
      </w:r>
    </w:p>
    <w:p>
      <w:pPr>
        <w:spacing w:line="360" w:lineRule="auto"/>
        <w:rPr>
          <w:rFonts w:ascii="宋体" w:hAnsi="宋体" w:cs="宋体"/>
          <w:b/>
          <w:bCs/>
          <w:color w:val="auto"/>
          <w:sz w:val="32"/>
          <w:szCs w:val="32"/>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adjustRightInd w:val="0"/>
        <w:snapToGrid w:val="0"/>
        <w:jc w:val="center"/>
        <w:rPr>
          <w:rFonts w:ascii="宋体" w:hAnsi="宋体" w:cs="宋体"/>
          <w:b/>
          <w:bCs/>
          <w:color w:val="auto"/>
          <w:sz w:val="32"/>
          <w:szCs w:val="32"/>
          <w:highlight w:val="none"/>
        </w:rPr>
        <w:sectPr>
          <w:pgSz w:w="11906" w:h="16838"/>
          <w:pgMar w:top="1440" w:right="1474" w:bottom="1440" w:left="1531" w:header="851" w:footer="850" w:gutter="0"/>
          <w:pgNumType w:fmt="decimal"/>
          <w:cols w:space="0" w:num="1"/>
          <w:docGrid w:linePitch="312" w:charSpace="0"/>
        </w:sectPr>
      </w:pPr>
    </w:p>
    <w:p>
      <w:pPr>
        <w:adjustRightInd w:val="0"/>
        <w:snapToGrid w:val="0"/>
        <w:spacing w:line="360" w:lineRule="auto"/>
        <w:ind w:right="24"/>
        <w:jc w:val="center"/>
        <w:outlineLvl w:val="1"/>
        <w:rPr>
          <w:rFonts w:ascii="宋体" w:hAnsi="宋体" w:cs="宋体"/>
          <w:b/>
          <w:color w:val="auto"/>
          <w:sz w:val="32"/>
          <w:szCs w:val="32"/>
          <w:highlight w:val="none"/>
        </w:rPr>
      </w:pPr>
      <w:bookmarkStart w:id="143" w:name="_Toc26804"/>
      <w:bookmarkStart w:id="144" w:name="_Toc28059"/>
      <w:bookmarkStart w:id="145" w:name="_Toc11292"/>
      <w:bookmarkStart w:id="146" w:name="_Toc6913"/>
      <w:r>
        <w:rPr>
          <w:rFonts w:hint="eastAsia" w:ascii="宋体" w:hAnsi="宋体" w:cs="宋体"/>
          <w:b/>
          <w:color w:val="auto"/>
          <w:sz w:val="32"/>
          <w:szCs w:val="32"/>
          <w:highlight w:val="none"/>
          <w:lang w:eastAsia="zh-CN"/>
        </w:rPr>
        <w:t>九</w:t>
      </w:r>
      <w:r>
        <w:rPr>
          <w:rFonts w:hint="eastAsia" w:ascii="宋体" w:hAnsi="宋体" w:cs="宋体"/>
          <w:b/>
          <w:color w:val="auto"/>
          <w:sz w:val="32"/>
          <w:szCs w:val="32"/>
          <w:highlight w:val="none"/>
        </w:rPr>
        <w:t>、</w:t>
      </w:r>
      <w:bookmarkEnd w:id="143"/>
      <w:bookmarkEnd w:id="144"/>
      <w:r>
        <w:rPr>
          <w:rFonts w:hint="eastAsia" w:ascii="宋体" w:hAnsi="宋体" w:cs="宋体"/>
          <w:b/>
          <w:color w:val="auto"/>
          <w:sz w:val="32"/>
          <w:szCs w:val="32"/>
          <w:highlight w:val="none"/>
          <w:lang w:eastAsia="zh-CN"/>
        </w:rPr>
        <w:t>谈判</w:t>
      </w:r>
      <w:r>
        <w:rPr>
          <w:rFonts w:hint="eastAsia" w:ascii="宋体" w:hAnsi="宋体" w:cs="宋体"/>
          <w:b/>
          <w:color w:val="auto"/>
          <w:sz w:val="32"/>
          <w:szCs w:val="32"/>
          <w:highlight w:val="none"/>
        </w:rPr>
        <w:t>报价表</w:t>
      </w:r>
      <w:bookmarkEnd w:id="145"/>
      <w:bookmarkEnd w:id="146"/>
    </w:p>
    <w:p>
      <w:pPr>
        <w:adjustRightInd w:val="0"/>
        <w:snapToGrid w:val="0"/>
        <w:spacing w:before="120" w:beforeLines="50" w:line="360" w:lineRule="auto"/>
        <w:ind w:firstLine="422" w:firstLineChars="200"/>
        <w:jc w:val="left"/>
        <w:rPr>
          <w:rFonts w:ascii="宋体" w:hAnsi="宋体" w:cs="宋体"/>
          <w:b/>
          <w:bCs/>
          <w:color w:val="auto"/>
          <w:szCs w:val="21"/>
          <w:highlight w:val="none"/>
        </w:rPr>
      </w:pPr>
      <w:r>
        <w:rPr>
          <w:rFonts w:ascii="宋体" w:hAnsi="宋体" w:cs="宋体"/>
          <w:b/>
          <w:bCs/>
          <w:color w:val="auto"/>
          <w:szCs w:val="21"/>
          <w:highlight w:val="none"/>
        </w:rPr>
        <w:t>采用CSPK计价软件全费用模版且湘建价﹝2020﹞56号文规定的</w:t>
      </w:r>
      <w:r>
        <w:rPr>
          <w:rFonts w:hint="eastAsia" w:ascii="宋体" w:hAnsi="宋体" w:cs="宋体"/>
          <w:b/>
          <w:bCs/>
          <w:color w:val="auto"/>
          <w:szCs w:val="21"/>
          <w:highlight w:val="none"/>
          <w:lang w:val="en-US" w:eastAsia="zh-CN"/>
        </w:rPr>
        <w:t>投标</w:t>
      </w:r>
      <w:r>
        <w:rPr>
          <w:rFonts w:ascii="宋体" w:hAnsi="宋体" w:cs="宋体"/>
          <w:b/>
          <w:bCs/>
          <w:color w:val="auto"/>
          <w:szCs w:val="21"/>
          <w:highlight w:val="none"/>
        </w:rPr>
        <w:t>报价格式（其中投标报价表格E8投标总价扉页总金额与E18工程量清单计价表(全清单)总金额保持一致），并且提交计价文件电子版。具体</w:t>
      </w:r>
      <w:r>
        <w:rPr>
          <w:rFonts w:hint="eastAsia" w:ascii="宋体" w:hAnsi="宋体" w:cs="宋体"/>
          <w:b/>
          <w:bCs/>
          <w:color w:val="auto"/>
          <w:szCs w:val="21"/>
          <w:highlight w:val="none"/>
          <w:lang w:val="en-US" w:eastAsia="zh-CN"/>
        </w:rPr>
        <w:t>投标</w:t>
      </w:r>
      <w:r>
        <w:rPr>
          <w:rFonts w:ascii="宋体" w:hAnsi="宋体" w:cs="宋体"/>
          <w:b/>
          <w:bCs/>
          <w:color w:val="auto"/>
          <w:szCs w:val="21"/>
          <w:highlight w:val="none"/>
        </w:rPr>
        <w:t>报价表格：</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1、E8投标总价扉页</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2、E12建设项目投标报价汇总表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3、E13单项工程投标报价汇总表</w:t>
      </w:r>
    </w:p>
    <w:p>
      <w:pPr>
        <w:pStyle w:val="45"/>
        <w:spacing w:line="360" w:lineRule="auto"/>
        <w:rPr>
          <w:rFonts w:ascii="宋体" w:hAnsi="宋体" w:cs="宋体"/>
          <w:color w:val="auto"/>
          <w:highlight w:val="none"/>
        </w:rPr>
      </w:pPr>
      <w:r>
        <w:rPr>
          <w:rFonts w:hint="eastAsia" w:ascii="宋体" w:hAnsi="宋体" w:cs="宋体"/>
          <w:color w:val="auto"/>
          <w:szCs w:val="21"/>
          <w:highlight w:val="none"/>
        </w:rPr>
        <w:t>4、E18工程量清单计价表（全清单）</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5、E18工程量清单计价表（全清单子目）</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6、E20总价措施项目清单计费表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7、E21绿色施工安全防护计价表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8、E23其他项目清单与计价汇总表</w:t>
      </w:r>
    </w:p>
    <w:p>
      <w:pPr>
        <w:adjustRightInd w:val="0"/>
        <w:snapToGrid w:val="0"/>
        <w:spacing w:before="120" w:beforeLines="50" w:line="360" w:lineRule="auto"/>
        <w:ind w:firstLine="420" w:firstLineChars="200"/>
        <w:jc w:val="left"/>
        <w:rPr>
          <w:rFonts w:ascii="宋体" w:hAnsi="宋体" w:cs="宋体"/>
          <w:color w:val="auto"/>
          <w:highlight w:val="none"/>
        </w:rPr>
      </w:pPr>
      <w:r>
        <w:rPr>
          <w:rFonts w:hint="eastAsia" w:ascii="宋体" w:hAnsi="宋体" w:cs="宋体"/>
          <w:color w:val="auto"/>
          <w:szCs w:val="21"/>
          <w:highlight w:val="none"/>
        </w:rPr>
        <w:t>9、E40人工、材料、机械汇总表</w:t>
      </w:r>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10、不可竞争费表（投标）</w:t>
      </w:r>
    </w:p>
    <w:p>
      <w:pPr>
        <w:rPr>
          <w:rFonts w:ascii="宋体" w:hAnsi="宋体" w:cs="宋体"/>
          <w:color w:val="auto"/>
          <w:szCs w:val="21"/>
          <w:highlight w:val="none"/>
        </w:rPr>
      </w:pPr>
      <w:r>
        <w:rPr>
          <w:rFonts w:hint="eastAsia" w:ascii="宋体" w:hAnsi="宋体" w:cs="宋体"/>
          <w:color w:val="auto"/>
          <w:szCs w:val="21"/>
          <w:highlight w:val="none"/>
        </w:rPr>
        <w:br w:type="page"/>
      </w:r>
    </w:p>
    <w:p>
      <w:pPr>
        <w:adjustRightInd w:val="0"/>
        <w:snapToGrid w:val="0"/>
        <w:spacing w:line="360" w:lineRule="auto"/>
        <w:ind w:right="24"/>
        <w:jc w:val="center"/>
        <w:outlineLvl w:val="1"/>
        <w:rPr>
          <w:rFonts w:ascii="宋体" w:hAnsi="宋体" w:cs="宋体"/>
          <w:b/>
          <w:color w:val="auto"/>
          <w:sz w:val="32"/>
          <w:szCs w:val="32"/>
          <w:highlight w:val="none"/>
        </w:rPr>
      </w:pPr>
      <w:bookmarkStart w:id="147" w:name="_Toc2255"/>
      <w:bookmarkStart w:id="148" w:name="_Toc7235"/>
      <w:r>
        <w:rPr>
          <w:rFonts w:hint="eastAsia" w:ascii="宋体" w:hAnsi="宋体" w:cs="宋体"/>
          <w:b/>
          <w:color w:val="auto"/>
          <w:sz w:val="32"/>
          <w:szCs w:val="32"/>
          <w:highlight w:val="none"/>
          <w:lang w:eastAsia="zh-CN"/>
        </w:rPr>
        <w:t>十</w:t>
      </w:r>
      <w:r>
        <w:rPr>
          <w:rFonts w:hint="eastAsia" w:ascii="宋体" w:hAnsi="宋体" w:cs="宋体"/>
          <w:b/>
          <w:color w:val="auto"/>
          <w:sz w:val="32"/>
          <w:szCs w:val="32"/>
          <w:highlight w:val="none"/>
        </w:rPr>
        <w:t>、其他资料（如有）</w:t>
      </w:r>
      <w:bookmarkEnd w:id="147"/>
      <w:bookmarkEnd w:id="148"/>
    </w:p>
    <w:p>
      <w:pPr>
        <w:adjustRightInd w:val="0"/>
        <w:snapToGrid w:val="0"/>
        <w:spacing w:before="120" w:beforeLines="5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谈判单位认为需要提供的其他报价资料，格式自拟。</w:t>
      </w:r>
    </w:p>
    <w:p>
      <w:pPr>
        <w:pStyle w:val="2"/>
        <w:rPr>
          <w:rFonts w:ascii="宋体" w:hAnsi="宋体" w:cs="宋体"/>
          <w:color w:val="auto"/>
          <w:highlight w:val="none"/>
        </w:rPr>
      </w:pPr>
    </w:p>
    <w:sectPr>
      <w:pgSz w:w="11906" w:h="16838"/>
      <w:pgMar w:top="1440" w:right="1474" w:bottom="1440" w:left="1531" w:header="851" w:footer="85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49022F8-1C11-405E-9717-3A2EA7BA860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5BEAA18B-EC43-477F-8117-F696EACBD2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7BABD87-35B3-44A3-8661-863E61B2F993}"/>
  </w:font>
  <w:font w:name="仿宋_GB2312">
    <w:panose1 w:val="02010609030101010101"/>
    <w:charset w:val="86"/>
    <w:family w:val="modern"/>
    <w:pitch w:val="default"/>
    <w:sig w:usb0="00000001" w:usb1="080E0000" w:usb2="00000000" w:usb3="00000000" w:csb0="00040000" w:csb1="00000000"/>
    <w:embedRegular r:id="rId4" w:fontKey="{A6CB821B-8622-4F81-9935-B441FFB1224C}"/>
  </w:font>
  <w:font w:name="楷体_GB2312">
    <w:panose1 w:val="02010609030101010101"/>
    <w:charset w:val="86"/>
    <w:family w:val="modern"/>
    <w:pitch w:val="default"/>
    <w:sig w:usb0="00000001" w:usb1="080E0000" w:usb2="00000000" w:usb3="00000000" w:csb0="00040000" w:csb1="00000000"/>
    <w:embedRegular r:id="rId5" w:fontKey="{09D1BF2C-49F8-4570-91CF-16242F12431C}"/>
  </w:font>
  <w:font w:name="等线">
    <w:panose1 w:val="02010600030101010101"/>
    <w:charset w:val="86"/>
    <w:family w:val="auto"/>
    <w:pitch w:val="default"/>
    <w:sig w:usb0="A00002BF" w:usb1="38CF7CFA" w:usb2="00000016" w:usb3="00000000" w:csb0="0004000F" w:csb1="00000000"/>
    <w:embedRegular r:id="rId6" w:fontKey="{FF84B55D-F751-4A92-BE79-13939EC82BDA}"/>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7" w:fontKey="{72332E5F-FD49-4BCB-AAC4-1C1BC5BF4707}"/>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p>
    <w:pPr>
      <w:pStyle w:val="3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p>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Dfc5/XAQAAsQ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duULPIyTDiJ09h7suKwHSai&#10;W9cekWePC9FQi/tPif5iUe+0O7MRZmM7G3sf1K7Ly5Vqgb/ZR2wu95wqjLDINTk4ycx62rq0Kk/9&#10;nPX4p63/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DA33Of1wEAALEDAAAOAAAAAAAAAAEA&#10;IAAAACIBAABkcnMvZTJvRG9jLnhtbFBLBQYAAAAABgAGAFkBAABrBQAAAAA=&#10;">
              <v:fill on="f" focussize="0,0"/>
              <v:stroke on="f" weight="1.25pt"/>
              <v:imagedata o:title=""/>
              <o:lock v:ext="edit" aspectratio="f"/>
              <v:textbox inset="0mm,0mm,0mm,0mm" style="mso-fit-shape-to-text:t;">
                <w:txbxContent>
                  <w:p>
                    <w:pPr>
                      <w:pStyle w:val="3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Hk7unWAQAAswMAAA4AAABkcnMvZTJvRG9jLnhtbK1Ty47TMBTd&#10;I/EPlvc0mUoDUdV0NKgahIQAaZgPcB2nseSXbLdJfwD+gBUb9nxXv4NjJ+mgYTOL2ST35XPvOb5e&#10;3wxakaPwQVpT06tFSYkw3DbS7Gv68O3uTUVJiMw0TFkjanoSgd5sXr9a924llrazqhGeAMSEVe9q&#10;2sXoVkUReCc0CwvrhEGytV6zCNfvi8azHuhaFcuyfFv01jfOWy5CQHQ7JumE6J8DaNtWcrG1/KCF&#10;iSOqF4pFUAqddIFu8rRtK3j80rZBRKJqCqYxf9EE9i59i82arfaeuU7yaQT2nBGecNJMGjS9QG1Z&#10;ZOTg5X9QWnJvg23jgltdjESyImBxVT7R5r5jTmQukDq4i+jh5WD55+NXT2SDTYAkhmnc+Pnnj/Ov&#10;P+ff3wliEKh3YYW6e4fKOLy3A4rneEAw8R5ar9MfjAjywDpd5BVDJDwdqpZVVSLFkZsd4BePx50P&#10;8YOwmiSjph73l2Vlx08hjqVzSepm7J1UKt+hMqQH6nX17jqfuKSArkwqFnkdJpzEaZw9WXHYDRPR&#10;nW1O4NljJWpq8AIoUR8NFMfccTb8bOxm4+C83Hd5vVKv4G4PEcPlmVOHERZck4O7zKynvUvL8q+f&#10;qx7f2uY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KHk7unWAQAAswMAAA4AAAAAAAAAAQAg&#10;AAAAIgEAAGRycy9lMm9Eb2MueG1sUEsFBgAAAAAGAAYAWQEAAGoFAAAAAA==&#10;">
              <v:fill on="f" focussize="0,0"/>
              <v:stroke on="f" weight="1.25pt"/>
              <v:imagedata o:title=""/>
              <o:lock v:ext="edit" aspectratio="f"/>
              <v:textbox inset="0mm,0mm,0mm,0mm" style="mso-fit-shape-to-text:t;">
                <w:txbxContent>
                  <w:p>
                    <w:pPr>
                      <w:pStyle w:val="31"/>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2D0C1"/>
    <w:multiLevelType w:val="singleLevel"/>
    <w:tmpl w:val="AF42D0C1"/>
    <w:lvl w:ilvl="0" w:tentative="0">
      <w:start w:val="1"/>
      <w:numFmt w:val="decimal"/>
      <w:lvlText w:val="(%1)"/>
      <w:lvlJc w:val="left"/>
      <w:pPr>
        <w:ind w:left="425" w:hanging="425"/>
      </w:pPr>
      <w:rPr>
        <w:rFonts w:hint="default"/>
      </w:rPr>
    </w:lvl>
  </w:abstractNum>
  <w:abstractNum w:abstractNumId="1">
    <w:nsid w:val="B2B2FE05"/>
    <w:multiLevelType w:val="singleLevel"/>
    <w:tmpl w:val="B2B2FE05"/>
    <w:lvl w:ilvl="0" w:tentative="0">
      <w:start w:val="1"/>
      <w:numFmt w:val="decimal"/>
      <w:suff w:val="nothing"/>
      <w:lvlText w:val="%1．"/>
      <w:lvlJc w:val="left"/>
      <w:pPr>
        <w:ind w:left="0" w:firstLine="400"/>
      </w:pPr>
      <w:rPr>
        <w:rFonts w:hint="default"/>
      </w:rPr>
    </w:lvl>
  </w:abstractNum>
  <w:abstractNum w:abstractNumId="2">
    <w:nsid w:val="C29E6077"/>
    <w:multiLevelType w:val="singleLevel"/>
    <w:tmpl w:val="C29E6077"/>
    <w:lvl w:ilvl="0" w:tentative="0">
      <w:start w:val="1"/>
      <w:numFmt w:val="decimal"/>
      <w:lvlText w:val="(%1)"/>
      <w:lvlJc w:val="left"/>
      <w:pPr>
        <w:ind w:left="425" w:hanging="425"/>
      </w:pPr>
      <w:rPr>
        <w:rFonts w:hint="default"/>
      </w:rPr>
    </w:lvl>
  </w:abstractNum>
  <w:abstractNum w:abstractNumId="3">
    <w:nsid w:val="D3285168"/>
    <w:multiLevelType w:val="singleLevel"/>
    <w:tmpl w:val="D3285168"/>
    <w:lvl w:ilvl="0" w:tentative="0">
      <w:start w:val="1"/>
      <w:numFmt w:val="decimal"/>
      <w:suff w:val="nothing"/>
      <w:lvlText w:val="%1．"/>
      <w:lvlJc w:val="left"/>
      <w:pPr>
        <w:ind w:left="0" w:firstLine="400"/>
      </w:pPr>
      <w:rPr>
        <w:rFonts w:hint="default"/>
      </w:rPr>
    </w:lvl>
  </w:abstractNum>
  <w:abstractNum w:abstractNumId="4">
    <w:nsid w:val="E9BF3674"/>
    <w:multiLevelType w:val="singleLevel"/>
    <w:tmpl w:val="E9BF3674"/>
    <w:lvl w:ilvl="0" w:tentative="0">
      <w:start w:val="1"/>
      <w:numFmt w:val="decimal"/>
      <w:suff w:val="nothing"/>
      <w:lvlText w:val="%1．"/>
      <w:lvlJc w:val="left"/>
      <w:pPr>
        <w:ind w:left="0" w:firstLine="400"/>
      </w:pPr>
      <w:rPr>
        <w:rFonts w:hint="default"/>
      </w:rPr>
    </w:lvl>
  </w:abstractNum>
  <w:abstractNum w:abstractNumId="5">
    <w:nsid w:val="F365C6D1"/>
    <w:multiLevelType w:val="singleLevel"/>
    <w:tmpl w:val="F365C6D1"/>
    <w:lvl w:ilvl="0" w:tentative="0">
      <w:start w:val="1"/>
      <w:numFmt w:val="decimal"/>
      <w:suff w:val="nothing"/>
      <w:lvlText w:val="%1．"/>
      <w:lvlJc w:val="left"/>
      <w:pPr>
        <w:ind w:left="0" w:firstLine="400"/>
      </w:pPr>
      <w:rPr>
        <w:rFonts w:hint="default"/>
      </w:rPr>
    </w:lvl>
  </w:abstractNum>
  <w:abstractNum w:abstractNumId="6">
    <w:nsid w:val="F6733FC5"/>
    <w:multiLevelType w:val="singleLevel"/>
    <w:tmpl w:val="F6733FC5"/>
    <w:lvl w:ilvl="0" w:tentative="0">
      <w:start w:val="1"/>
      <w:numFmt w:val="decimal"/>
      <w:suff w:val="nothing"/>
      <w:lvlText w:val="%1．"/>
      <w:lvlJc w:val="left"/>
      <w:pPr>
        <w:ind w:left="0" w:firstLine="400"/>
      </w:pPr>
      <w:rPr>
        <w:rFonts w:hint="default"/>
      </w:rPr>
    </w:lvl>
  </w:abstractNum>
  <w:abstractNum w:abstractNumId="7">
    <w:nsid w:val="FE293A88"/>
    <w:multiLevelType w:val="singleLevel"/>
    <w:tmpl w:val="FE293A88"/>
    <w:lvl w:ilvl="0" w:tentative="0">
      <w:start w:val="3"/>
      <w:numFmt w:val="chineseCounting"/>
      <w:pStyle w:val="359"/>
      <w:suff w:val="nothing"/>
      <w:lvlText w:val="%1、"/>
      <w:lvlJc w:val="left"/>
      <w:rPr>
        <w:rFonts w:hint="eastAsia"/>
      </w:rPr>
    </w:lvl>
  </w:abstractNum>
  <w:abstractNum w:abstractNumId="8">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9">
    <w:nsid w:val="067A3E85"/>
    <w:multiLevelType w:val="singleLevel"/>
    <w:tmpl w:val="067A3E85"/>
    <w:lvl w:ilvl="0" w:tentative="0">
      <w:start w:val="1"/>
      <w:numFmt w:val="decimal"/>
      <w:suff w:val="nothing"/>
      <w:lvlText w:val="%1．"/>
      <w:lvlJc w:val="left"/>
      <w:pPr>
        <w:ind w:left="0" w:firstLine="400"/>
      </w:pPr>
      <w:rPr>
        <w:rFonts w:hint="default"/>
      </w:rPr>
    </w:lvl>
  </w:abstractNum>
  <w:abstractNum w:abstractNumId="10">
    <w:nsid w:val="0B70834F"/>
    <w:multiLevelType w:val="singleLevel"/>
    <w:tmpl w:val="0B70834F"/>
    <w:lvl w:ilvl="0" w:tentative="0">
      <w:start w:val="1"/>
      <w:numFmt w:val="decimal"/>
      <w:suff w:val="nothing"/>
      <w:lvlText w:val="%1．"/>
      <w:lvlJc w:val="left"/>
      <w:pPr>
        <w:ind w:left="0" w:firstLine="400"/>
      </w:pPr>
      <w:rPr>
        <w:rFonts w:hint="default"/>
      </w:rPr>
    </w:lvl>
  </w:abstractNum>
  <w:abstractNum w:abstractNumId="11">
    <w:nsid w:val="0BEDCE8E"/>
    <w:multiLevelType w:val="singleLevel"/>
    <w:tmpl w:val="0BEDCE8E"/>
    <w:lvl w:ilvl="0" w:tentative="0">
      <w:start w:val="1"/>
      <w:numFmt w:val="decimal"/>
      <w:suff w:val="nothing"/>
      <w:lvlText w:val="%1．"/>
      <w:lvlJc w:val="left"/>
      <w:pPr>
        <w:ind w:left="0" w:firstLine="400"/>
      </w:pPr>
      <w:rPr>
        <w:rFonts w:hint="default"/>
      </w:rPr>
    </w:lvl>
  </w:abstractNum>
  <w:abstractNum w:abstractNumId="12">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F0686F"/>
    <w:multiLevelType w:val="singleLevel"/>
    <w:tmpl w:val="16F0686F"/>
    <w:lvl w:ilvl="0" w:tentative="0">
      <w:start w:val="1"/>
      <w:numFmt w:val="decimal"/>
      <w:suff w:val="nothing"/>
      <w:lvlText w:val="%1．"/>
      <w:lvlJc w:val="left"/>
      <w:pPr>
        <w:ind w:left="0" w:firstLine="400"/>
      </w:pPr>
      <w:rPr>
        <w:rFonts w:hint="default"/>
      </w:rPr>
    </w:lvl>
  </w:abstractNum>
  <w:abstractNum w:abstractNumId="15">
    <w:nsid w:val="1E0695EE"/>
    <w:multiLevelType w:val="singleLevel"/>
    <w:tmpl w:val="1E0695EE"/>
    <w:lvl w:ilvl="0" w:tentative="0">
      <w:start w:val="1"/>
      <w:numFmt w:val="decimal"/>
      <w:suff w:val="nothing"/>
      <w:lvlText w:val="%1．"/>
      <w:lvlJc w:val="left"/>
      <w:pPr>
        <w:ind w:left="0" w:firstLine="400"/>
      </w:pPr>
      <w:rPr>
        <w:rFonts w:hint="default"/>
      </w:rPr>
    </w:lvl>
  </w:abstractNum>
  <w:abstractNum w:abstractNumId="16">
    <w:nsid w:val="269FB15F"/>
    <w:multiLevelType w:val="singleLevel"/>
    <w:tmpl w:val="269FB15F"/>
    <w:lvl w:ilvl="0" w:tentative="0">
      <w:start w:val="1"/>
      <w:numFmt w:val="chineseCounting"/>
      <w:suff w:val="nothing"/>
      <w:lvlText w:val="%1、"/>
      <w:lvlJc w:val="left"/>
      <w:pPr>
        <w:ind w:left="0" w:firstLine="420"/>
      </w:pPr>
      <w:rPr>
        <w:rFonts w:hint="eastAsia"/>
      </w:rPr>
    </w:lvl>
  </w:abstractNum>
  <w:abstractNum w:abstractNumId="17">
    <w:nsid w:val="28838A2B"/>
    <w:multiLevelType w:val="singleLevel"/>
    <w:tmpl w:val="28838A2B"/>
    <w:lvl w:ilvl="0" w:tentative="0">
      <w:start w:val="1"/>
      <w:numFmt w:val="chineseCounting"/>
      <w:suff w:val="nothing"/>
      <w:lvlText w:val="%1、"/>
      <w:lvlJc w:val="left"/>
      <w:pPr>
        <w:ind w:left="0" w:firstLine="420"/>
      </w:pPr>
      <w:rPr>
        <w:rFonts w:hint="eastAsia"/>
      </w:rPr>
    </w:lvl>
  </w:abstractNum>
  <w:abstractNum w:abstractNumId="18">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8"/>
  </w:num>
  <w:num w:numId="2">
    <w:abstractNumId w:val="12"/>
  </w:num>
  <w:num w:numId="3">
    <w:abstractNumId w:val="7"/>
  </w:num>
  <w:num w:numId="4">
    <w:abstractNumId w:val="13"/>
  </w:num>
  <w:num w:numId="5">
    <w:abstractNumId w:val="18"/>
  </w:num>
  <w:num w:numId="6">
    <w:abstractNumId w:val="16"/>
  </w:num>
  <w:num w:numId="7">
    <w:abstractNumId w:val="1"/>
  </w:num>
  <w:num w:numId="8">
    <w:abstractNumId w:val="15"/>
  </w:num>
  <w:num w:numId="9">
    <w:abstractNumId w:val="10"/>
  </w:num>
  <w:num w:numId="10">
    <w:abstractNumId w:val="11"/>
  </w:num>
  <w:num w:numId="11">
    <w:abstractNumId w:val="0"/>
  </w:num>
  <w:num w:numId="12">
    <w:abstractNumId w:val="6"/>
  </w:num>
  <w:num w:numId="13">
    <w:abstractNumId w:val="9"/>
  </w:num>
  <w:num w:numId="14">
    <w:abstractNumId w:val="3"/>
  </w:num>
  <w:num w:numId="15">
    <w:abstractNumId w:val="14"/>
  </w:num>
  <w:num w:numId="16">
    <w:abstractNumId w:val="5"/>
  </w:num>
  <w:num w:numId="17">
    <w:abstractNumId w:val="2"/>
  </w:num>
  <w:num w:numId="18">
    <w:abstractNumId w:val="17"/>
  </w:num>
  <w:num w:numId="1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xYTIzOTgwYmJiNDY4NWUwNDNlYzQ5YTA3MDEzOWMifQ=="/>
  </w:docVars>
  <w:rsids>
    <w:rsidRoot w:val="0070784A"/>
    <w:rsid w:val="00005EC9"/>
    <w:rsid w:val="00006D21"/>
    <w:rsid w:val="00016902"/>
    <w:rsid w:val="000274C6"/>
    <w:rsid w:val="00034CF0"/>
    <w:rsid w:val="00035CEB"/>
    <w:rsid w:val="00052640"/>
    <w:rsid w:val="00063195"/>
    <w:rsid w:val="00063D15"/>
    <w:rsid w:val="00074928"/>
    <w:rsid w:val="00091C9D"/>
    <w:rsid w:val="000C106E"/>
    <w:rsid w:val="000D4DB5"/>
    <w:rsid w:val="000E09CA"/>
    <w:rsid w:val="000E1CBA"/>
    <w:rsid w:val="000E7968"/>
    <w:rsid w:val="00115FE6"/>
    <w:rsid w:val="00116BAE"/>
    <w:rsid w:val="0012771B"/>
    <w:rsid w:val="001365D8"/>
    <w:rsid w:val="001453A1"/>
    <w:rsid w:val="00156787"/>
    <w:rsid w:val="0016181C"/>
    <w:rsid w:val="00162D59"/>
    <w:rsid w:val="00170187"/>
    <w:rsid w:val="001724B2"/>
    <w:rsid w:val="00186162"/>
    <w:rsid w:val="001C23BF"/>
    <w:rsid w:val="001C5373"/>
    <w:rsid w:val="001D6D72"/>
    <w:rsid w:val="001F7F7E"/>
    <w:rsid w:val="002069C8"/>
    <w:rsid w:val="002139EB"/>
    <w:rsid w:val="0022188F"/>
    <w:rsid w:val="00222DFA"/>
    <w:rsid w:val="00230A1A"/>
    <w:rsid w:val="002314A3"/>
    <w:rsid w:val="002504FF"/>
    <w:rsid w:val="002523FD"/>
    <w:rsid w:val="0025312F"/>
    <w:rsid w:val="00255546"/>
    <w:rsid w:val="002608D4"/>
    <w:rsid w:val="00286014"/>
    <w:rsid w:val="002974AE"/>
    <w:rsid w:val="002A0BE4"/>
    <w:rsid w:val="002B1D56"/>
    <w:rsid w:val="002C1CE4"/>
    <w:rsid w:val="002D74CA"/>
    <w:rsid w:val="002F262C"/>
    <w:rsid w:val="003102A2"/>
    <w:rsid w:val="00331810"/>
    <w:rsid w:val="00341CEA"/>
    <w:rsid w:val="00356B09"/>
    <w:rsid w:val="003723E0"/>
    <w:rsid w:val="00380064"/>
    <w:rsid w:val="00381105"/>
    <w:rsid w:val="00381BB4"/>
    <w:rsid w:val="00387430"/>
    <w:rsid w:val="003958B2"/>
    <w:rsid w:val="0039632C"/>
    <w:rsid w:val="003B1109"/>
    <w:rsid w:val="003D080C"/>
    <w:rsid w:val="003D6204"/>
    <w:rsid w:val="003E5113"/>
    <w:rsid w:val="003F1C64"/>
    <w:rsid w:val="003F46A7"/>
    <w:rsid w:val="004014FD"/>
    <w:rsid w:val="00423B85"/>
    <w:rsid w:val="004263EB"/>
    <w:rsid w:val="00436748"/>
    <w:rsid w:val="0044519B"/>
    <w:rsid w:val="00452FD8"/>
    <w:rsid w:val="00453EE9"/>
    <w:rsid w:val="00464034"/>
    <w:rsid w:val="00473865"/>
    <w:rsid w:val="00475B14"/>
    <w:rsid w:val="0048093D"/>
    <w:rsid w:val="004929D5"/>
    <w:rsid w:val="00495DBC"/>
    <w:rsid w:val="00495F57"/>
    <w:rsid w:val="004978CA"/>
    <w:rsid w:val="00497EBB"/>
    <w:rsid w:val="004A7AAA"/>
    <w:rsid w:val="004B3D80"/>
    <w:rsid w:val="004B4056"/>
    <w:rsid w:val="004B41B1"/>
    <w:rsid w:val="00504DED"/>
    <w:rsid w:val="00516B15"/>
    <w:rsid w:val="00526589"/>
    <w:rsid w:val="005403BE"/>
    <w:rsid w:val="00545140"/>
    <w:rsid w:val="0055214F"/>
    <w:rsid w:val="005556A5"/>
    <w:rsid w:val="005563A3"/>
    <w:rsid w:val="0056117D"/>
    <w:rsid w:val="0056143E"/>
    <w:rsid w:val="0058754B"/>
    <w:rsid w:val="005B1968"/>
    <w:rsid w:val="005B61D8"/>
    <w:rsid w:val="005C5FED"/>
    <w:rsid w:val="005C688B"/>
    <w:rsid w:val="005E6BBB"/>
    <w:rsid w:val="005F65CD"/>
    <w:rsid w:val="00604737"/>
    <w:rsid w:val="006236CD"/>
    <w:rsid w:val="00641E72"/>
    <w:rsid w:val="0068504A"/>
    <w:rsid w:val="0068515F"/>
    <w:rsid w:val="00687981"/>
    <w:rsid w:val="00687C87"/>
    <w:rsid w:val="006B6300"/>
    <w:rsid w:val="006C3B60"/>
    <w:rsid w:val="006C57DE"/>
    <w:rsid w:val="006D0A13"/>
    <w:rsid w:val="006E025D"/>
    <w:rsid w:val="006F5FAC"/>
    <w:rsid w:val="0070019E"/>
    <w:rsid w:val="00702C2B"/>
    <w:rsid w:val="0070784A"/>
    <w:rsid w:val="00711760"/>
    <w:rsid w:val="0071630D"/>
    <w:rsid w:val="00730CC6"/>
    <w:rsid w:val="00740D0D"/>
    <w:rsid w:val="007756C4"/>
    <w:rsid w:val="00785846"/>
    <w:rsid w:val="00793ABB"/>
    <w:rsid w:val="0079784E"/>
    <w:rsid w:val="007A7A5F"/>
    <w:rsid w:val="007C13AE"/>
    <w:rsid w:val="007C168A"/>
    <w:rsid w:val="007D0446"/>
    <w:rsid w:val="007D38B0"/>
    <w:rsid w:val="007F3811"/>
    <w:rsid w:val="007F6D2C"/>
    <w:rsid w:val="00802770"/>
    <w:rsid w:val="00803931"/>
    <w:rsid w:val="0081382B"/>
    <w:rsid w:val="00841713"/>
    <w:rsid w:val="00842E06"/>
    <w:rsid w:val="008432F6"/>
    <w:rsid w:val="008511F3"/>
    <w:rsid w:val="008609DC"/>
    <w:rsid w:val="0086685E"/>
    <w:rsid w:val="008901F3"/>
    <w:rsid w:val="008904BE"/>
    <w:rsid w:val="008B6242"/>
    <w:rsid w:val="008B71AF"/>
    <w:rsid w:val="008C6C96"/>
    <w:rsid w:val="008C7C9F"/>
    <w:rsid w:val="008E0677"/>
    <w:rsid w:val="00900546"/>
    <w:rsid w:val="00915948"/>
    <w:rsid w:val="00923E97"/>
    <w:rsid w:val="0092736B"/>
    <w:rsid w:val="0094549A"/>
    <w:rsid w:val="00973E27"/>
    <w:rsid w:val="0099304F"/>
    <w:rsid w:val="009A5642"/>
    <w:rsid w:val="009B354F"/>
    <w:rsid w:val="009B5270"/>
    <w:rsid w:val="009C10AF"/>
    <w:rsid w:val="009C65A5"/>
    <w:rsid w:val="009D41D7"/>
    <w:rsid w:val="009D7D4A"/>
    <w:rsid w:val="009E03FD"/>
    <w:rsid w:val="009E1396"/>
    <w:rsid w:val="009E2384"/>
    <w:rsid w:val="00A07C23"/>
    <w:rsid w:val="00A22C74"/>
    <w:rsid w:val="00A34DC1"/>
    <w:rsid w:val="00A41E73"/>
    <w:rsid w:val="00A53CAF"/>
    <w:rsid w:val="00A53CC5"/>
    <w:rsid w:val="00A618F2"/>
    <w:rsid w:val="00A61CCE"/>
    <w:rsid w:val="00A87E8F"/>
    <w:rsid w:val="00A92B7C"/>
    <w:rsid w:val="00A960B4"/>
    <w:rsid w:val="00AA1709"/>
    <w:rsid w:val="00AA6008"/>
    <w:rsid w:val="00AA6716"/>
    <w:rsid w:val="00AB013C"/>
    <w:rsid w:val="00AD758B"/>
    <w:rsid w:val="00AF11ED"/>
    <w:rsid w:val="00B01BA0"/>
    <w:rsid w:val="00B0507A"/>
    <w:rsid w:val="00B129C6"/>
    <w:rsid w:val="00B144F4"/>
    <w:rsid w:val="00B4547C"/>
    <w:rsid w:val="00B45A8A"/>
    <w:rsid w:val="00B74689"/>
    <w:rsid w:val="00B82298"/>
    <w:rsid w:val="00B832A9"/>
    <w:rsid w:val="00B92FA2"/>
    <w:rsid w:val="00BB4BA0"/>
    <w:rsid w:val="00BC3E36"/>
    <w:rsid w:val="00BC79F2"/>
    <w:rsid w:val="00BD21D7"/>
    <w:rsid w:val="00BE15B5"/>
    <w:rsid w:val="00BF3B1E"/>
    <w:rsid w:val="00C0069B"/>
    <w:rsid w:val="00C20479"/>
    <w:rsid w:val="00C21D69"/>
    <w:rsid w:val="00C532E5"/>
    <w:rsid w:val="00C57914"/>
    <w:rsid w:val="00C6008B"/>
    <w:rsid w:val="00C758E3"/>
    <w:rsid w:val="00C8315A"/>
    <w:rsid w:val="00C94925"/>
    <w:rsid w:val="00CB534B"/>
    <w:rsid w:val="00CC1ED5"/>
    <w:rsid w:val="00CD604D"/>
    <w:rsid w:val="00CE51F2"/>
    <w:rsid w:val="00CE631C"/>
    <w:rsid w:val="00CE703D"/>
    <w:rsid w:val="00CF0192"/>
    <w:rsid w:val="00CF040C"/>
    <w:rsid w:val="00CF51C2"/>
    <w:rsid w:val="00D164FE"/>
    <w:rsid w:val="00D250A7"/>
    <w:rsid w:val="00D30AC0"/>
    <w:rsid w:val="00D31733"/>
    <w:rsid w:val="00D43330"/>
    <w:rsid w:val="00D45257"/>
    <w:rsid w:val="00D45708"/>
    <w:rsid w:val="00D52894"/>
    <w:rsid w:val="00D6362F"/>
    <w:rsid w:val="00D84A7F"/>
    <w:rsid w:val="00DA51BD"/>
    <w:rsid w:val="00DD10B2"/>
    <w:rsid w:val="00DF363F"/>
    <w:rsid w:val="00E02312"/>
    <w:rsid w:val="00E32EEF"/>
    <w:rsid w:val="00E66F28"/>
    <w:rsid w:val="00E74692"/>
    <w:rsid w:val="00E77817"/>
    <w:rsid w:val="00E944EE"/>
    <w:rsid w:val="00EA3AF6"/>
    <w:rsid w:val="00EB059B"/>
    <w:rsid w:val="00EC28DE"/>
    <w:rsid w:val="00EE2E01"/>
    <w:rsid w:val="00EF6911"/>
    <w:rsid w:val="00F23019"/>
    <w:rsid w:val="00F37996"/>
    <w:rsid w:val="00F410E0"/>
    <w:rsid w:val="00F579E9"/>
    <w:rsid w:val="00F92963"/>
    <w:rsid w:val="00FA6734"/>
    <w:rsid w:val="00FB4DC0"/>
    <w:rsid w:val="00FC4118"/>
    <w:rsid w:val="00FE0E04"/>
    <w:rsid w:val="00FE3699"/>
    <w:rsid w:val="01403F6F"/>
    <w:rsid w:val="014D6F55"/>
    <w:rsid w:val="01534B1D"/>
    <w:rsid w:val="01553A81"/>
    <w:rsid w:val="015C7C47"/>
    <w:rsid w:val="017961C8"/>
    <w:rsid w:val="01932790"/>
    <w:rsid w:val="01AD7307"/>
    <w:rsid w:val="01BF37C7"/>
    <w:rsid w:val="01CF51F6"/>
    <w:rsid w:val="01E055E1"/>
    <w:rsid w:val="01E427A6"/>
    <w:rsid w:val="01EA6EEC"/>
    <w:rsid w:val="01F359E4"/>
    <w:rsid w:val="01F95304"/>
    <w:rsid w:val="021900C6"/>
    <w:rsid w:val="021B19D1"/>
    <w:rsid w:val="02263AD9"/>
    <w:rsid w:val="02452305"/>
    <w:rsid w:val="024C0DC0"/>
    <w:rsid w:val="02533F0F"/>
    <w:rsid w:val="02615857"/>
    <w:rsid w:val="0261662C"/>
    <w:rsid w:val="02787973"/>
    <w:rsid w:val="02787D91"/>
    <w:rsid w:val="02823A35"/>
    <w:rsid w:val="029A1968"/>
    <w:rsid w:val="029F1BEF"/>
    <w:rsid w:val="02A46519"/>
    <w:rsid w:val="02AB7973"/>
    <w:rsid w:val="02B40E52"/>
    <w:rsid w:val="02BF5617"/>
    <w:rsid w:val="02FB4FEB"/>
    <w:rsid w:val="02FD1531"/>
    <w:rsid w:val="030A4D81"/>
    <w:rsid w:val="030B6598"/>
    <w:rsid w:val="03450195"/>
    <w:rsid w:val="035E29A3"/>
    <w:rsid w:val="03651742"/>
    <w:rsid w:val="03727DAF"/>
    <w:rsid w:val="03D2648C"/>
    <w:rsid w:val="03D41287"/>
    <w:rsid w:val="03E43571"/>
    <w:rsid w:val="03EC7F09"/>
    <w:rsid w:val="03F31A5E"/>
    <w:rsid w:val="03FC0CEA"/>
    <w:rsid w:val="04240981"/>
    <w:rsid w:val="042B3AFB"/>
    <w:rsid w:val="0445397B"/>
    <w:rsid w:val="044957DA"/>
    <w:rsid w:val="0471407F"/>
    <w:rsid w:val="0473320E"/>
    <w:rsid w:val="04814D63"/>
    <w:rsid w:val="0486237A"/>
    <w:rsid w:val="04910D1F"/>
    <w:rsid w:val="04CA33E5"/>
    <w:rsid w:val="04D550AF"/>
    <w:rsid w:val="04DC643E"/>
    <w:rsid w:val="04E70891"/>
    <w:rsid w:val="04EE0D07"/>
    <w:rsid w:val="04F22E36"/>
    <w:rsid w:val="04FE2594"/>
    <w:rsid w:val="054E6891"/>
    <w:rsid w:val="0551729C"/>
    <w:rsid w:val="057D700E"/>
    <w:rsid w:val="05990F81"/>
    <w:rsid w:val="05D62C3D"/>
    <w:rsid w:val="05DF20B2"/>
    <w:rsid w:val="05EB6762"/>
    <w:rsid w:val="05EE4029"/>
    <w:rsid w:val="05F777CC"/>
    <w:rsid w:val="061842D1"/>
    <w:rsid w:val="06340970"/>
    <w:rsid w:val="064707DC"/>
    <w:rsid w:val="067428EB"/>
    <w:rsid w:val="06782F47"/>
    <w:rsid w:val="067D6532"/>
    <w:rsid w:val="06C11238"/>
    <w:rsid w:val="06D605B3"/>
    <w:rsid w:val="06FD1B8C"/>
    <w:rsid w:val="06FF01C2"/>
    <w:rsid w:val="070C68F7"/>
    <w:rsid w:val="07297F65"/>
    <w:rsid w:val="072A0AC8"/>
    <w:rsid w:val="072B22BC"/>
    <w:rsid w:val="07413A86"/>
    <w:rsid w:val="074C43F1"/>
    <w:rsid w:val="0763204F"/>
    <w:rsid w:val="07650D5D"/>
    <w:rsid w:val="07751C03"/>
    <w:rsid w:val="07A76048"/>
    <w:rsid w:val="07B16F85"/>
    <w:rsid w:val="07BB0B45"/>
    <w:rsid w:val="07D16002"/>
    <w:rsid w:val="07D53EC9"/>
    <w:rsid w:val="07D7113E"/>
    <w:rsid w:val="082211DD"/>
    <w:rsid w:val="08232382"/>
    <w:rsid w:val="082F5114"/>
    <w:rsid w:val="083245C7"/>
    <w:rsid w:val="083D23B2"/>
    <w:rsid w:val="085D1644"/>
    <w:rsid w:val="086136BB"/>
    <w:rsid w:val="08786792"/>
    <w:rsid w:val="08807627"/>
    <w:rsid w:val="089A2898"/>
    <w:rsid w:val="089F6734"/>
    <w:rsid w:val="08A13C26"/>
    <w:rsid w:val="08D94C54"/>
    <w:rsid w:val="08F71A98"/>
    <w:rsid w:val="093252EE"/>
    <w:rsid w:val="09422E59"/>
    <w:rsid w:val="094A4EE7"/>
    <w:rsid w:val="095417B5"/>
    <w:rsid w:val="0959407C"/>
    <w:rsid w:val="097D1C20"/>
    <w:rsid w:val="098A3350"/>
    <w:rsid w:val="09A23D38"/>
    <w:rsid w:val="09AB154E"/>
    <w:rsid w:val="09FB6433"/>
    <w:rsid w:val="0A0B173F"/>
    <w:rsid w:val="0A2948BE"/>
    <w:rsid w:val="0A451CA7"/>
    <w:rsid w:val="0A726EFC"/>
    <w:rsid w:val="0AE24958"/>
    <w:rsid w:val="0AE87948"/>
    <w:rsid w:val="0B0459F0"/>
    <w:rsid w:val="0B4432D5"/>
    <w:rsid w:val="0B590F4A"/>
    <w:rsid w:val="0B6E5916"/>
    <w:rsid w:val="0B742C57"/>
    <w:rsid w:val="0B8511E8"/>
    <w:rsid w:val="0B86236C"/>
    <w:rsid w:val="0BAA700E"/>
    <w:rsid w:val="0BC61F4B"/>
    <w:rsid w:val="0BC65752"/>
    <w:rsid w:val="0BCB5D79"/>
    <w:rsid w:val="0BDB1103"/>
    <w:rsid w:val="0BEB10E2"/>
    <w:rsid w:val="0C01678A"/>
    <w:rsid w:val="0C115754"/>
    <w:rsid w:val="0C156CFF"/>
    <w:rsid w:val="0C172671"/>
    <w:rsid w:val="0C1A66D1"/>
    <w:rsid w:val="0C2D757F"/>
    <w:rsid w:val="0C361670"/>
    <w:rsid w:val="0C411CD0"/>
    <w:rsid w:val="0C5B1FA9"/>
    <w:rsid w:val="0C5D27ED"/>
    <w:rsid w:val="0C8C06CE"/>
    <w:rsid w:val="0C8E4136"/>
    <w:rsid w:val="0C8F18B9"/>
    <w:rsid w:val="0CA062F8"/>
    <w:rsid w:val="0CED2457"/>
    <w:rsid w:val="0D0E01FB"/>
    <w:rsid w:val="0D1911D2"/>
    <w:rsid w:val="0D2C1377"/>
    <w:rsid w:val="0D5116CB"/>
    <w:rsid w:val="0D572478"/>
    <w:rsid w:val="0D5C5AB2"/>
    <w:rsid w:val="0D614F04"/>
    <w:rsid w:val="0D6A4C3D"/>
    <w:rsid w:val="0D7C256C"/>
    <w:rsid w:val="0DAD6BC9"/>
    <w:rsid w:val="0DC93361"/>
    <w:rsid w:val="0DCC335E"/>
    <w:rsid w:val="0DDF37E8"/>
    <w:rsid w:val="0DF87606"/>
    <w:rsid w:val="0DFE7B03"/>
    <w:rsid w:val="0E010817"/>
    <w:rsid w:val="0E04554D"/>
    <w:rsid w:val="0E0C0187"/>
    <w:rsid w:val="0E0F120B"/>
    <w:rsid w:val="0E413AE2"/>
    <w:rsid w:val="0E7019A5"/>
    <w:rsid w:val="0E8F2773"/>
    <w:rsid w:val="0E94477A"/>
    <w:rsid w:val="0EB421D9"/>
    <w:rsid w:val="0EBC2000"/>
    <w:rsid w:val="0ED661AC"/>
    <w:rsid w:val="0F087E2F"/>
    <w:rsid w:val="0F143C2E"/>
    <w:rsid w:val="0F340DCE"/>
    <w:rsid w:val="0F3616B4"/>
    <w:rsid w:val="0F3918CC"/>
    <w:rsid w:val="0F397095"/>
    <w:rsid w:val="0FA1518B"/>
    <w:rsid w:val="0FA3115C"/>
    <w:rsid w:val="0FD663C6"/>
    <w:rsid w:val="1012108F"/>
    <w:rsid w:val="10190CBD"/>
    <w:rsid w:val="102D14D1"/>
    <w:rsid w:val="104232ED"/>
    <w:rsid w:val="104E0318"/>
    <w:rsid w:val="10A750E5"/>
    <w:rsid w:val="10C7201C"/>
    <w:rsid w:val="10FA33B6"/>
    <w:rsid w:val="10FD5AAB"/>
    <w:rsid w:val="11252F1A"/>
    <w:rsid w:val="11342822"/>
    <w:rsid w:val="115D2B41"/>
    <w:rsid w:val="11665FF2"/>
    <w:rsid w:val="1183006F"/>
    <w:rsid w:val="118640B3"/>
    <w:rsid w:val="118B7221"/>
    <w:rsid w:val="118F2A29"/>
    <w:rsid w:val="11CB3AC2"/>
    <w:rsid w:val="11D70154"/>
    <w:rsid w:val="120E595B"/>
    <w:rsid w:val="12321665"/>
    <w:rsid w:val="126B3B31"/>
    <w:rsid w:val="126C7EC0"/>
    <w:rsid w:val="1277417D"/>
    <w:rsid w:val="12983BFD"/>
    <w:rsid w:val="12A242AB"/>
    <w:rsid w:val="12BE7F96"/>
    <w:rsid w:val="12DA4361"/>
    <w:rsid w:val="12DE7825"/>
    <w:rsid w:val="12E6250F"/>
    <w:rsid w:val="12E70400"/>
    <w:rsid w:val="12F17558"/>
    <w:rsid w:val="12F745E0"/>
    <w:rsid w:val="12F96D8F"/>
    <w:rsid w:val="13390D77"/>
    <w:rsid w:val="1342515B"/>
    <w:rsid w:val="1347361C"/>
    <w:rsid w:val="1356443E"/>
    <w:rsid w:val="1360694E"/>
    <w:rsid w:val="136253A7"/>
    <w:rsid w:val="136544CD"/>
    <w:rsid w:val="136B6B81"/>
    <w:rsid w:val="13A934D3"/>
    <w:rsid w:val="13A9398F"/>
    <w:rsid w:val="13B923AB"/>
    <w:rsid w:val="13BA3DEE"/>
    <w:rsid w:val="13C0328F"/>
    <w:rsid w:val="13C5215F"/>
    <w:rsid w:val="13C57B29"/>
    <w:rsid w:val="13C719E1"/>
    <w:rsid w:val="13DA4490"/>
    <w:rsid w:val="13DC2553"/>
    <w:rsid w:val="13DD7ADC"/>
    <w:rsid w:val="13E620B2"/>
    <w:rsid w:val="13ED7734"/>
    <w:rsid w:val="13F637F9"/>
    <w:rsid w:val="13FF5CA5"/>
    <w:rsid w:val="141A2ADF"/>
    <w:rsid w:val="142D4C56"/>
    <w:rsid w:val="143D7FFC"/>
    <w:rsid w:val="1444419D"/>
    <w:rsid w:val="145077E5"/>
    <w:rsid w:val="145644BE"/>
    <w:rsid w:val="145C45D5"/>
    <w:rsid w:val="14706BA3"/>
    <w:rsid w:val="14877E93"/>
    <w:rsid w:val="149B2B25"/>
    <w:rsid w:val="14B6139F"/>
    <w:rsid w:val="14BC76CF"/>
    <w:rsid w:val="14C842E9"/>
    <w:rsid w:val="15003E09"/>
    <w:rsid w:val="150B2427"/>
    <w:rsid w:val="15340E77"/>
    <w:rsid w:val="15546753"/>
    <w:rsid w:val="155E4C4D"/>
    <w:rsid w:val="157939BE"/>
    <w:rsid w:val="157D1577"/>
    <w:rsid w:val="15832312"/>
    <w:rsid w:val="15C01930"/>
    <w:rsid w:val="160457F4"/>
    <w:rsid w:val="161C194F"/>
    <w:rsid w:val="162E1686"/>
    <w:rsid w:val="1636522B"/>
    <w:rsid w:val="16387566"/>
    <w:rsid w:val="164E22B9"/>
    <w:rsid w:val="165E1B64"/>
    <w:rsid w:val="166167A3"/>
    <w:rsid w:val="1664445E"/>
    <w:rsid w:val="167D6633"/>
    <w:rsid w:val="169B2FE7"/>
    <w:rsid w:val="16B965DF"/>
    <w:rsid w:val="16C7330C"/>
    <w:rsid w:val="16CE41FA"/>
    <w:rsid w:val="16D46F73"/>
    <w:rsid w:val="16D800E7"/>
    <w:rsid w:val="16E77616"/>
    <w:rsid w:val="16F862E2"/>
    <w:rsid w:val="17253717"/>
    <w:rsid w:val="173A56D7"/>
    <w:rsid w:val="175718CF"/>
    <w:rsid w:val="176159C8"/>
    <w:rsid w:val="176C3C2E"/>
    <w:rsid w:val="17740B65"/>
    <w:rsid w:val="17747CFC"/>
    <w:rsid w:val="17974A77"/>
    <w:rsid w:val="17C50F2C"/>
    <w:rsid w:val="17D42E02"/>
    <w:rsid w:val="17E657EC"/>
    <w:rsid w:val="17EE661D"/>
    <w:rsid w:val="180C33C0"/>
    <w:rsid w:val="18321EC8"/>
    <w:rsid w:val="1836143D"/>
    <w:rsid w:val="18613676"/>
    <w:rsid w:val="186D339B"/>
    <w:rsid w:val="1871686D"/>
    <w:rsid w:val="18735165"/>
    <w:rsid w:val="188542AB"/>
    <w:rsid w:val="1888103C"/>
    <w:rsid w:val="188858E4"/>
    <w:rsid w:val="188F3AA8"/>
    <w:rsid w:val="18940F06"/>
    <w:rsid w:val="189D42EF"/>
    <w:rsid w:val="189E1726"/>
    <w:rsid w:val="18AE213F"/>
    <w:rsid w:val="18D21BDA"/>
    <w:rsid w:val="18EF3A7F"/>
    <w:rsid w:val="190478B9"/>
    <w:rsid w:val="19104464"/>
    <w:rsid w:val="191C2A75"/>
    <w:rsid w:val="191C7D65"/>
    <w:rsid w:val="19266EAE"/>
    <w:rsid w:val="193E61A9"/>
    <w:rsid w:val="194303E2"/>
    <w:rsid w:val="1981715C"/>
    <w:rsid w:val="198F6CCC"/>
    <w:rsid w:val="19B175FE"/>
    <w:rsid w:val="19BA2DA6"/>
    <w:rsid w:val="19E17184"/>
    <w:rsid w:val="19E75211"/>
    <w:rsid w:val="19EF50BB"/>
    <w:rsid w:val="19FB2C3C"/>
    <w:rsid w:val="1A1459A8"/>
    <w:rsid w:val="1A1B5EE6"/>
    <w:rsid w:val="1A2C027D"/>
    <w:rsid w:val="1A351A94"/>
    <w:rsid w:val="1A3B188F"/>
    <w:rsid w:val="1A4F4961"/>
    <w:rsid w:val="1A527E86"/>
    <w:rsid w:val="1A5E119D"/>
    <w:rsid w:val="1A6B0EEF"/>
    <w:rsid w:val="1A864FC7"/>
    <w:rsid w:val="1A967D50"/>
    <w:rsid w:val="1A970FB3"/>
    <w:rsid w:val="1A9A6727"/>
    <w:rsid w:val="1AAB45F6"/>
    <w:rsid w:val="1AAF1616"/>
    <w:rsid w:val="1ADE4AEE"/>
    <w:rsid w:val="1AF205C1"/>
    <w:rsid w:val="1B106349"/>
    <w:rsid w:val="1B133EBD"/>
    <w:rsid w:val="1B1D4C62"/>
    <w:rsid w:val="1B266C7E"/>
    <w:rsid w:val="1B69770D"/>
    <w:rsid w:val="1B6A434C"/>
    <w:rsid w:val="1B6F3710"/>
    <w:rsid w:val="1B73756C"/>
    <w:rsid w:val="1B791B76"/>
    <w:rsid w:val="1B825A10"/>
    <w:rsid w:val="1B860B53"/>
    <w:rsid w:val="1B94321A"/>
    <w:rsid w:val="1B9E744F"/>
    <w:rsid w:val="1BB76E65"/>
    <w:rsid w:val="1BB92BDD"/>
    <w:rsid w:val="1BBD3D34"/>
    <w:rsid w:val="1BBE13E9"/>
    <w:rsid w:val="1BC54211"/>
    <w:rsid w:val="1BCA771E"/>
    <w:rsid w:val="1BCC07FF"/>
    <w:rsid w:val="1BD21A8E"/>
    <w:rsid w:val="1BED31A7"/>
    <w:rsid w:val="1BF6640F"/>
    <w:rsid w:val="1C2D03AA"/>
    <w:rsid w:val="1C2F51F0"/>
    <w:rsid w:val="1C4B2F98"/>
    <w:rsid w:val="1CD4242F"/>
    <w:rsid w:val="1CD83B22"/>
    <w:rsid w:val="1CE400B3"/>
    <w:rsid w:val="1CEB326A"/>
    <w:rsid w:val="1CF10155"/>
    <w:rsid w:val="1D2119DA"/>
    <w:rsid w:val="1D3F35B6"/>
    <w:rsid w:val="1D481945"/>
    <w:rsid w:val="1D6848BB"/>
    <w:rsid w:val="1D961B49"/>
    <w:rsid w:val="1D9F6122"/>
    <w:rsid w:val="1DAA4ED3"/>
    <w:rsid w:val="1DF4775D"/>
    <w:rsid w:val="1E055B38"/>
    <w:rsid w:val="1E220F0E"/>
    <w:rsid w:val="1E2B1E83"/>
    <w:rsid w:val="1E431571"/>
    <w:rsid w:val="1E453774"/>
    <w:rsid w:val="1E573D83"/>
    <w:rsid w:val="1E5E5C12"/>
    <w:rsid w:val="1E6749FD"/>
    <w:rsid w:val="1E7277E4"/>
    <w:rsid w:val="1EA654B5"/>
    <w:rsid w:val="1EB05FC3"/>
    <w:rsid w:val="1EB57C64"/>
    <w:rsid w:val="1EBD0C36"/>
    <w:rsid w:val="1EE456C8"/>
    <w:rsid w:val="1EEF0AE0"/>
    <w:rsid w:val="1EFA027C"/>
    <w:rsid w:val="1EFA23B0"/>
    <w:rsid w:val="1F140503"/>
    <w:rsid w:val="1F2809C8"/>
    <w:rsid w:val="1F2F00D5"/>
    <w:rsid w:val="1F375C0D"/>
    <w:rsid w:val="1F3D0CE1"/>
    <w:rsid w:val="1F541C2F"/>
    <w:rsid w:val="1F8F3CFA"/>
    <w:rsid w:val="1FA3607E"/>
    <w:rsid w:val="1FA7260B"/>
    <w:rsid w:val="1FEE3736"/>
    <w:rsid w:val="1FF45180"/>
    <w:rsid w:val="20193699"/>
    <w:rsid w:val="202E7C59"/>
    <w:rsid w:val="2034266D"/>
    <w:rsid w:val="2034592E"/>
    <w:rsid w:val="20441BF7"/>
    <w:rsid w:val="204B7610"/>
    <w:rsid w:val="20567811"/>
    <w:rsid w:val="2063580D"/>
    <w:rsid w:val="20684BD2"/>
    <w:rsid w:val="207B20B8"/>
    <w:rsid w:val="207D067D"/>
    <w:rsid w:val="2080774D"/>
    <w:rsid w:val="20A21E92"/>
    <w:rsid w:val="20C87EE6"/>
    <w:rsid w:val="20D4307C"/>
    <w:rsid w:val="20DF6696"/>
    <w:rsid w:val="210963B5"/>
    <w:rsid w:val="21156537"/>
    <w:rsid w:val="21311468"/>
    <w:rsid w:val="21463165"/>
    <w:rsid w:val="215026B3"/>
    <w:rsid w:val="21733FD9"/>
    <w:rsid w:val="21837F15"/>
    <w:rsid w:val="218469C1"/>
    <w:rsid w:val="21DC5877"/>
    <w:rsid w:val="21FB5F50"/>
    <w:rsid w:val="21FB6487"/>
    <w:rsid w:val="224913C5"/>
    <w:rsid w:val="22611A5A"/>
    <w:rsid w:val="22620C72"/>
    <w:rsid w:val="22622A21"/>
    <w:rsid w:val="22934188"/>
    <w:rsid w:val="229A6D64"/>
    <w:rsid w:val="22AE5F02"/>
    <w:rsid w:val="22B0319D"/>
    <w:rsid w:val="22E54FD6"/>
    <w:rsid w:val="22F333CF"/>
    <w:rsid w:val="23045086"/>
    <w:rsid w:val="23455A28"/>
    <w:rsid w:val="236F6C77"/>
    <w:rsid w:val="23AD1279"/>
    <w:rsid w:val="23E2019C"/>
    <w:rsid w:val="241B079D"/>
    <w:rsid w:val="24373239"/>
    <w:rsid w:val="24435E0A"/>
    <w:rsid w:val="24552B00"/>
    <w:rsid w:val="24582CE4"/>
    <w:rsid w:val="246C3202"/>
    <w:rsid w:val="246F59D4"/>
    <w:rsid w:val="24A7216D"/>
    <w:rsid w:val="2500362B"/>
    <w:rsid w:val="25006968"/>
    <w:rsid w:val="250462EA"/>
    <w:rsid w:val="25187EFF"/>
    <w:rsid w:val="251B3B67"/>
    <w:rsid w:val="25221225"/>
    <w:rsid w:val="252A63E3"/>
    <w:rsid w:val="252D7657"/>
    <w:rsid w:val="25355DF2"/>
    <w:rsid w:val="25390605"/>
    <w:rsid w:val="253A3746"/>
    <w:rsid w:val="25611F86"/>
    <w:rsid w:val="256C29A0"/>
    <w:rsid w:val="25752417"/>
    <w:rsid w:val="257D111F"/>
    <w:rsid w:val="25933BDB"/>
    <w:rsid w:val="25B20421"/>
    <w:rsid w:val="25B66BA8"/>
    <w:rsid w:val="25C43228"/>
    <w:rsid w:val="25DF73A8"/>
    <w:rsid w:val="25E70ABF"/>
    <w:rsid w:val="26013AFE"/>
    <w:rsid w:val="262B2CCD"/>
    <w:rsid w:val="263F63D5"/>
    <w:rsid w:val="26526108"/>
    <w:rsid w:val="26597CF6"/>
    <w:rsid w:val="2661226B"/>
    <w:rsid w:val="26636987"/>
    <w:rsid w:val="26A05556"/>
    <w:rsid w:val="26C64DE3"/>
    <w:rsid w:val="26CF4594"/>
    <w:rsid w:val="26D55AED"/>
    <w:rsid w:val="271B75ED"/>
    <w:rsid w:val="271E4DAB"/>
    <w:rsid w:val="272A5BFE"/>
    <w:rsid w:val="27320D1C"/>
    <w:rsid w:val="274759C4"/>
    <w:rsid w:val="274B7559"/>
    <w:rsid w:val="274F75D7"/>
    <w:rsid w:val="27781B9E"/>
    <w:rsid w:val="278842B0"/>
    <w:rsid w:val="278B7B24"/>
    <w:rsid w:val="27A72484"/>
    <w:rsid w:val="27F154AD"/>
    <w:rsid w:val="28085C82"/>
    <w:rsid w:val="28134D27"/>
    <w:rsid w:val="28166B73"/>
    <w:rsid w:val="282442D9"/>
    <w:rsid w:val="284367B5"/>
    <w:rsid w:val="284C2446"/>
    <w:rsid w:val="285718A5"/>
    <w:rsid w:val="288B5901"/>
    <w:rsid w:val="289B0A0A"/>
    <w:rsid w:val="28C36E49"/>
    <w:rsid w:val="28E6236C"/>
    <w:rsid w:val="28E868B0"/>
    <w:rsid w:val="28F865CB"/>
    <w:rsid w:val="29053276"/>
    <w:rsid w:val="29212087"/>
    <w:rsid w:val="29250E1B"/>
    <w:rsid w:val="293E4CC1"/>
    <w:rsid w:val="29443F92"/>
    <w:rsid w:val="2951346C"/>
    <w:rsid w:val="295A53EB"/>
    <w:rsid w:val="296D5AB5"/>
    <w:rsid w:val="29803AA3"/>
    <w:rsid w:val="29884B07"/>
    <w:rsid w:val="298957C4"/>
    <w:rsid w:val="29BF5862"/>
    <w:rsid w:val="29C76E0D"/>
    <w:rsid w:val="29DF4E52"/>
    <w:rsid w:val="2A1D6A45"/>
    <w:rsid w:val="2A1E7872"/>
    <w:rsid w:val="2A225DF1"/>
    <w:rsid w:val="2A306760"/>
    <w:rsid w:val="2A4859A7"/>
    <w:rsid w:val="2A4E2CE7"/>
    <w:rsid w:val="2A6F6EBA"/>
    <w:rsid w:val="2A830C79"/>
    <w:rsid w:val="2A8F08BD"/>
    <w:rsid w:val="2ABA24CE"/>
    <w:rsid w:val="2AD11736"/>
    <w:rsid w:val="2AF07184"/>
    <w:rsid w:val="2B1029CF"/>
    <w:rsid w:val="2B3D0710"/>
    <w:rsid w:val="2B424E87"/>
    <w:rsid w:val="2B4D20BD"/>
    <w:rsid w:val="2B5F0E77"/>
    <w:rsid w:val="2B6D5384"/>
    <w:rsid w:val="2B746B21"/>
    <w:rsid w:val="2B7F64C1"/>
    <w:rsid w:val="2BA3212D"/>
    <w:rsid w:val="2BB138D1"/>
    <w:rsid w:val="2BDC5710"/>
    <w:rsid w:val="2BE7007A"/>
    <w:rsid w:val="2BEF05F1"/>
    <w:rsid w:val="2BFE408A"/>
    <w:rsid w:val="2C027C88"/>
    <w:rsid w:val="2C1D78F3"/>
    <w:rsid w:val="2C234403"/>
    <w:rsid w:val="2C393680"/>
    <w:rsid w:val="2C6941AB"/>
    <w:rsid w:val="2C7E33AC"/>
    <w:rsid w:val="2CA97EA8"/>
    <w:rsid w:val="2CD47877"/>
    <w:rsid w:val="2CDF0482"/>
    <w:rsid w:val="2CF13C94"/>
    <w:rsid w:val="2D22640D"/>
    <w:rsid w:val="2D2B320F"/>
    <w:rsid w:val="2D464D5F"/>
    <w:rsid w:val="2D4E5097"/>
    <w:rsid w:val="2D592D22"/>
    <w:rsid w:val="2D594049"/>
    <w:rsid w:val="2D6F75A0"/>
    <w:rsid w:val="2D962D7E"/>
    <w:rsid w:val="2D97120B"/>
    <w:rsid w:val="2DEB1F6F"/>
    <w:rsid w:val="2DEF5805"/>
    <w:rsid w:val="2DF20112"/>
    <w:rsid w:val="2DF81E3E"/>
    <w:rsid w:val="2DFB00B5"/>
    <w:rsid w:val="2E156399"/>
    <w:rsid w:val="2E2525FF"/>
    <w:rsid w:val="2E287697"/>
    <w:rsid w:val="2E312BC1"/>
    <w:rsid w:val="2E414663"/>
    <w:rsid w:val="2E450300"/>
    <w:rsid w:val="2E55622B"/>
    <w:rsid w:val="2E697CA3"/>
    <w:rsid w:val="2E6D23B0"/>
    <w:rsid w:val="2E6D4E98"/>
    <w:rsid w:val="2E7931EC"/>
    <w:rsid w:val="2E81758A"/>
    <w:rsid w:val="2E944745"/>
    <w:rsid w:val="2E9705D3"/>
    <w:rsid w:val="2E9C3022"/>
    <w:rsid w:val="2EBC4D51"/>
    <w:rsid w:val="2EBE0475"/>
    <w:rsid w:val="2EC1790D"/>
    <w:rsid w:val="2EE23871"/>
    <w:rsid w:val="2F041F69"/>
    <w:rsid w:val="2F0C7CBD"/>
    <w:rsid w:val="2F1D1D68"/>
    <w:rsid w:val="2F1F4CCA"/>
    <w:rsid w:val="2F25085E"/>
    <w:rsid w:val="2F266384"/>
    <w:rsid w:val="2F2A65B2"/>
    <w:rsid w:val="2F3D58ED"/>
    <w:rsid w:val="2F6C2DFA"/>
    <w:rsid w:val="30071D11"/>
    <w:rsid w:val="300C3711"/>
    <w:rsid w:val="3022617D"/>
    <w:rsid w:val="30240B15"/>
    <w:rsid w:val="30464B56"/>
    <w:rsid w:val="30593AE1"/>
    <w:rsid w:val="305D4391"/>
    <w:rsid w:val="306B39B6"/>
    <w:rsid w:val="307355F9"/>
    <w:rsid w:val="307C2C0D"/>
    <w:rsid w:val="30967620"/>
    <w:rsid w:val="309F2085"/>
    <w:rsid w:val="30BD1FE5"/>
    <w:rsid w:val="30CB4750"/>
    <w:rsid w:val="30E74D92"/>
    <w:rsid w:val="30F36C74"/>
    <w:rsid w:val="30F9318B"/>
    <w:rsid w:val="31272F44"/>
    <w:rsid w:val="314112DB"/>
    <w:rsid w:val="315B3243"/>
    <w:rsid w:val="317F37CB"/>
    <w:rsid w:val="31936105"/>
    <w:rsid w:val="31B658D4"/>
    <w:rsid w:val="31CD6F8B"/>
    <w:rsid w:val="31E67461"/>
    <w:rsid w:val="3227669B"/>
    <w:rsid w:val="32316E69"/>
    <w:rsid w:val="325B404D"/>
    <w:rsid w:val="32887E5F"/>
    <w:rsid w:val="32922EE0"/>
    <w:rsid w:val="329E5AD1"/>
    <w:rsid w:val="32CC51E5"/>
    <w:rsid w:val="32E6051A"/>
    <w:rsid w:val="32EF6D28"/>
    <w:rsid w:val="32EF7444"/>
    <w:rsid w:val="32F33B15"/>
    <w:rsid w:val="3342483F"/>
    <w:rsid w:val="3355548A"/>
    <w:rsid w:val="338B2639"/>
    <w:rsid w:val="33A13E70"/>
    <w:rsid w:val="33A718ED"/>
    <w:rsid w:val="33AA3E3F"/>
    <w:rsid w:val="33BD31B5"/>
    <w:rsid w:val="34086FF6"/>
    <w:rsid w:val="34724740"/>
    <w:rsid w:val="347B4A7C"/>
    <w:rsid w:val="34AC6BE3"/>
    <w:rsid w:val="34AE7446"/>
    <w:rsid w:val="34EB329F"/>
    <w:rsid w:val="34F04903"/>
    <w:rsid w:val="34FE1F7D"/>
    <w:rsid w:val="35270865"/>
    <w:rsid w:val="352A3E47"/>
    <w:rsid w:val="3547199A"/>
    <w:rsid w:val="354A3769"/>
    <w:rsid w:val="35C42A65"/>
    <w:rsid w:val="3609516B"/>
    <w:rsid w:val="360A255B"/>
    <w:rsid w:val="36116C06"/>
    <w:rsid w:val="36163333"/>
    <w:rsid w:val="361B7BDC"/>
    <w:rsid w:val="363D46DF"/>
    <w:rsid w:val="364221AD"/>
    <w:rsid w:val="36627D01"/>
    <w:rsid w:val="36634B06"/>
    <w:rsid w:val="367D0F7F"/>
    <w:rsid w:val="3693646D"/>
    <w:rsid w:val="36985DB9"/>
    <w:rsid w:val="369B1BA6"/>
    <w:rsid w:val="36A55553"/>
    <w:rsid w:val="36AC6FD2"/>
    <w:rsid w:val="36AE45FE"/>
    <w:rsid w:val="36D4159F"/>
    <w:rsid w:val="36DB78F6"/>
    <w:rsid w:val="36E67798"/>
    <w:rsid w:val="36FF0DB1"/>
    <w:rsid w:val="37067020"/>
    <w:rsid w:val="372649E2"/>
    <w:rsid w:val="372C59AA"/>
    <w:rsid w:val="373000B7"/>
    <w:rsid w:val="373F6235"/>
    <w:rsid w:val="37426348"/>
    <w:rsid w:val="3789705A"/>
    <w:rsid w:val="37963F54"/>
    <w:rsid w:val="37997B47"/>
    <w:rsid w:val="379A6B89"/>
    <w:rsid w:val="379B6A7D"/>
    <w:rsid w:val="37BF2E3D"/>
    <w:rsid w:val="37BF2ED1"/>
    <w:rsid w:val="37C67DE8"/>
    <w:rsid w:val="37D107AA"/>
    <w:rsid w:val="37DF2765"/>
    <w:rsid w:val="37F43335"/>
    <w:rsid w:val="383F163A"/>
    <w:rsid w:val="38517386"/>
    <w:rsid w:val="387B1F73"/>
    <w:rsid w:val="38926D93"/>
    <w:rsid w:val="389600D6"/>
    <w:rsid w:val="38B04B0E"/>
    <w:rsid w:val="38E0334C"/>
    <w:rsid w:val="38FD54AF"/>
    <w:rsid w:val="390741E5"/>
    <w:rsid w:val="391F264A"/>
    <w:rsid w:val="39243472"/>
    <w:rsid w:val="392B2144"/>
    <w:rsid w:val="394205BC"/>
    <w:rsid w:val="394868D4"/>
    <w:rsid w:val="39494385"/>
    <w:rsid w:val="394E6CCA"/>
    <w:rsid w:val="39572D54"/>
    <w:rsid w:val="39594049"/>
    <w:rsid w:val="39673821"/>
    <w:rsid w:val="397E3639"/>
    <w:rsid w:val="3997588E"/>
    <w:rsid w:val="39B46D56"/>
    <w:rsid w:val="39B76556"/>
    <w:rsid w:val="39C828E7"/>
    <w:rsid w:val="39DD557C"/>
    <w:rsid w:val="39FC4298"/>
    <w:rsid w:val="3A0740EE"/>
    <w:rsid w:val="3A437DEA"/>
    <w:rsid w:val="3A4536A9"/>
    <w:rsid w:val="3A552184"/>
    <w:rsid w:val="3A800711"/>
    <w:rsid w:val="3A810CA0"/>
    <w:rsid w:val="3A96496C"/>
    <w:rsid w:val="3A9F3479"/>
    <w:rsid w:val="3ABC7EEE"/>
    <w:rsid w:val="3AE331DB"/>
    <w:rsid w:val="3AED2009"/>
    <w:rsid w:val="3B117EE8"/>
    <w:rsid w:val="3B1939D0"/>
    <w:rsid w:val="3B4413D5"/>
    <w:rsid w:val="3B474570"/>
    <w:rsid w:val="3B581890"/>
    <w:rsid w:val="3B6A75F8"/>
    <w:rsid w:val="3B774CEF"/>
    <w:rsid w:val="3B7F30A4"/>
    <w:rsid w:val="3BAB26D3"/>
    <w:rsid w:val="3BBD2FB8"/>
    <w:rsid w:val="3BD009CC"/>
    <w:rsid w:val="3BF45BDB"/>
    <w:rsid w:val="3C0417FB"/>
    <w:rsid w:val="3C08668D"/>
    <w:rsid w:val="3C265C15"/>
    <w:rsid w:val="3C2B1FE6"/>
    <w:rsid w:val="3C2F7C35"/>
    <w:rsid w:val="3C5D5159"/>
    <w:rsid w:val="3C6212F6"/>
    <w:rsid w:val="3C8779B9"/>
    <w:rsid w:val="3C8B2C2B"/>
    <w:rsid w:val="3C940215"/>
    <w:rsid w:val="3C9F058C"/>
    <w:rsid w:val="3CA250F7"/>
    <w:rsid w:val="3CC97C4F"/>
    <w:rsid w:val="3CCA29EB"/>
    <w:rsid w:val="3CCC5DBF"/>
    <w:rsid w:val="3CF75C7B"/>
    <w:rsid w:val="3D163B1F"/>
    <w:rsid w:val="3D211F38"/>
    <w:rsid w:val="3D3B70B7"/>
    <w:rsid w:val="3D497E6A"/>
    <w:rsid w:val="3D527DC0"/>
    <w:rsid w:val="3D6267D9"/>
    <w:rsid w:val="3D634958"/>
    <w:rsid w:val="3D6C6B53"/>
    <w:rsid w:val="3D7E3E9D"/>
    <w:rsid w:val="3D8C6BB2"/>
    <w:rsid w:val="3D987150"/>
    <w:rsid w:val="3D9E333B"/>
    <w:rsid w:val="3DBC00BF"/>
    <w:rsid w:val="3DC456E6"/>
    <w:rsid w:val="3DCB1A6B"/>
    <w:rsid w:val="3DED30AA"/>
    <w:rsid w:val="3E104487"/>
    <w:rsid w:val="3E28224C"/>
    <w:rsid w:val="3E2D5980"/>
    <w:rsid w:val="3E3102BB"/>
    <w:rsid w:val="3E3402F4"/>
    <w:rsid w:val="3E604692"/>
    <w:rsid w:val="3E614AA5"/>
    <w:rsid w:val="3E7017AE"/>
    <w:rsid w:val="3E99447C"/>
    <w:rsid w:val="3EB02545"/>
    <w:rsid w:val="3EB21D54"/>
    <w:rsid w:val="3EFB495F"/>
    <w:rsid w:val="3F18661A"/>
    <w:rsid w:val="3F204B9E"/>
    <w:rsid w:val="3F444EA2"/>
    <w:rsid w:val="3F4A6A01"/>
    <w:rsid w:val="3F73748E"/>
    <w:rsid w:val="3F7512EA"/>
    <w:rsid w:val="3F786788"/>
    <w:rsid w:val="3F827606"/>
    <w:rsid w:val="3F9730B9"/>
    <w:rsid w:val="3FA532F5"/>
    <w:rsid w:val="3FAE3F57"/>
    <w:rsid w:val="3FBA6DCD"/>
    <w:rsid w:val="3FC55901"/>
    <w:rsid w:val="3FC9458D"/>
    <w:rsid w:val="3FD033AD"/>
    <w:rsid w:val="3FE71A20"/>
    <w:rsid w:val="3FEC2CD2"/>
    <w:rsid w:val="3FF6577E"/>
    <w:rsid w:val="3FFD6C8D"/>
    <w:rsid w:val="40000C79"/>
    <w:rsid w:val="401F021A"/>
    <w:rsid w:val="40355AE4"/>
    <w:rsid w:val="403B4D3E"/>
    <w:rsid w:val="404148A6"/>
    <w:rsid w:val="40572AB6"/>
    <w:rsid w:val="405D3459"/>
    <w:rsid w:val="4068264C"/>
    <w:rsid w:val="407728FD"/>
    <w:rsid w:val="40890C0D"/>
    <w:rsid w:val="40AD3727"/>
    <w:rsid w:val="40BB7174"/>
    <w:rsid w:val="40CA0DB3"/>
    <w:rsid w:val="40D479EE"/>
    <w:rsid w:val="40D9131D"/>
    <w:rsid w:val="40DE086C"/>
    <w:rsid w:val="40F33BD0"/>
    <w:rsid w:val="410603FC"/>
    <w:rsid w:val="410D06B8"/>
    <w:rsid w:val="411E510D"/>
    <w:rsid w:val="413C3C47"/>
    <w:rsid w:val="41683D77"/>
    <w:rsid w:val="418842A8"/>
    <w:rsid w:val="41A274B6"/>
    <w:rsid w:val="41BE244C"/>
    <w:rsid w:val="41C034AF"/>
    <w:rsid w:val="41C70A28"/>
    <w:rsid w:val="41E270C7"/>
    <w:rsid w:val="41FF4F3E"/>
    <w:rsid w:val="420C2CFA"/>
    <w:rsid w:val="422C42FF"/>
    <w:rsid w:val="42311D52"/>
    <w:rsid w:val="424A712C"/>
    <w:rsid w:val="4263268C"/>
    <w:rsid w:val="42766963"/>
    <w:rsid w:val="429F7E60"/>
    <w:rsid w:val="42CB2D35"/>
    <w:rsid w:val="42DE6BC4"/>
    <w:rsid w:val="42F759C4"/>
    <w:rsid w:val="43023463"/>
    <w:rsid w:val="430420F8"/>
    <w:rsid w:val="431D0ECB"/>
    <w:rsid w:val="434660D0"/>
    <w:rsid w:val="43554BAC"/>
    <w:rsid w:val="435D3A52"/>
    <w:rsid w:val="436D6609"/>
    <w:rsid w:val="4392054D"/>
    <w:rsid w:val="439E1B7D"/>
    <w:rsid w:val="43A027A3"/>
    <w:rsid w:val="43A05E1A"/>
    <w:rsid w:val="43AA1E91"/>
    <w:rsid w:val="43AF27CC"/>
    <w:rsid w:val="43B65AFA"/>
    <w:rsid w:val="43BA343C"/>
    <w:rsid w:val="43E268C5"/>
    <w:rsid w:val="43EF2D90"/>
    <w:rsid w:val="43F8127E"/>
    <w:rsid w:val="4410657D"/>
    <w:rsid w:val="44107E1A"/>
    <w:rsid w:val="4428525F"/>
    <w:rsid w:val="443743B0"/>
    <w:rsid w:val="443C52A9"/>
    <w:rsid w:val="4449517D"/>
    <w:rsid w:val="444A0170"/>
    <w:rsid w:val="4458707E"/>
    <w:rsid w:val="44667276"/>
    <w:rsid w:val="44775260"/>
    <w:rsid w:val="44A37922"/>
    <w:rsid w:val="44B63420"/>
    <w:rsid w:val="44B71DE6"/>
    <w:rsid w:val="44BE70AA"/>
    <w:rsid w:val="44DB6B8D"/>
    <w:rsid w:val="44EA211C"/>
    <w:rsid w:val="44EA2F34"/>
    <w:rsid w:val="44F11AA7"/>
    <w:rsid w:val="44FE772F"/>
    <w:rsid w:val="45160574"/>
    <w:rsid w:val="4523576C"/>
    <w:rsid w:val="453316BD"/>
    <w:rsid w:val="45420D01"/>
    <w:rsid w:val="45471587"/>
    <w:rsid w:val="454A5128"/>
    <w:rsid w:val="45A23217"/>
    <w:rsid w:val="45D9171A"/>
    <w:rsid w:val="45E20130"/>
    <w:rsid w:val="45F8252B"/>
    <w:rsid w:val="46140E92"/>
    <w:rsid w:val="46153B79"/>
    <w:rsid w:val="46362CFF"/>
    <w:rsid w:val="464D59CD"/>
    <w:rsid w:val="4655670F"/>
    <w:rsid w:val="465E48A1"/>
    <w:rsid w:val="46731F7F"/>
    <w:rsid w:val="467E0EF0"/>
    <w:rsid w:val="46957C1F"/>
    <w:rsid w:val="46A301FD"/>
    <w:rsid w:val="46C45E20"/>
    <w:rsid w:val="46CD6A3D"/>
    <w:rsid w:val="46D23AA8"/>
    <w:rsid w:val="46D446A7"/>
    <w:rsid w:val="46DD6BE8"/>
    <w:rsid w:val="470A6835"/>
    <w:rsid w:val="471274C2"/>
    <w:rsid w:val="47165D61"/>
    <w:rsid w:val="47451645"/>
    <w:rsid w:val="47552022"/>
    <w:rsid w:val="475D1752"/>
    <w:rsid w:val="476A5CE9"/>
    <w:rsid w:val="47767BD4"/>
    <w:rsid w:val="477D0471"/>
    <w:rsid w:val="478F59C9"/>
    <w:rsid w:val="47B0403B"/>
    <w:rsid w:val="47E911F6"/>
    <w:rsid w:val="47EA68ED"/>
    <w:rsid w:val="47EF4992"/>
    <w:rsid w:val="47FB44E3"/>
    <w:rsid w:val="480D57EC"/>
    <w:rsid w:val="4872162F"/>
    <w:rsid w:val="488A747A"/>
    <w:rsid w:val="488C68A7"/>
    <w:rsid w:val="489640A7"/>
    <w:rsid w:val="489E300A"/>
    <w:rsid w:val="489F6B33"/>
    <w:rsid w:val="48A8092A"/>
    <w:rsid w:val="48B43C8E"/>
    <w:rsid w:val="48BC6F7A"/>
    <w:rsid w:val="48E7655B"/>
    <w:rsid w:val="49027981"/>
    <w:rsid w:val="492A3415"/>
    <w:rsid w:val="493164AB"/>
    <w:rsid w:val="49374FBE"/>
    <w:rsid w:val="4955748F"/>
    <w:rsid w:val="49694B92"/>
    <w:rsid w:val="49737357"/>
    <w:rsid w:val="498940CF"/>
    <w:rsid w:val="49E35145"/>
    <w:rsid w:val="49E51E3A"/>
    <w:rsid w:val="4A0366CF"/>
    <w:rsid w:val="4A071B06"/>
    <w:rsid w:val="4A256483"/>
    <w:rsid w:val="4A38641F"/>
    <w:rsid w:val="4A42376B"/>
    <w:rsid w:val="4A66688A"/>
    <w:rsid w:val="4A800E57"/>
    <w:rsid w:val="4A8561FD"/>
    <w:rsid w:val="4A8D4A10"/>
    <w:rsid w:val="4A9F5D83"/>
    <w:rsid w:val="4AB5002A"/>
    <w:rsid w:val="4AB52052"/>
    <w:rsid w:val="4ADB406F"/>
    <w:rsid w:val="4AE130AC"/>
    <w:rsid w:val="4AF859CC"/>
    <w:rsid w:val="4B375240"/>
    <w:rsid w:val="4B4516D7"/>
    <w:rsid w:val="4B657DEC"/>
    <w:rsid w:val="4B6A350D"/>
    <w:rsid w:val="4B8152D3"/>
    <w:rsid w:val="4B835116"/>
    <w:rsid w:val="4B965649"/>
    <w:rsid w:val="4B9A084B"/>
    <w:rsid w:val="4BAD20AE"/>
    <w:rsid w:val="4BBA0F4B"/>
    <w:rsid w:val="4BC03621"/>
    <w:rsid w:val="4BC22F72"/>
    <w:rsid w:val="4BDB2578"/>
    <w:rsid w:val="4BEC1DA9"/>
    <w:rsid w:val="4C0118B3"/>
    <w:rsid w:val="4C0A4905"/>
    <w:rsid w:val="4C0B31D6"/>
    <w:rsid w:val="4C113092"/>
    <w:rsid w:val="4C454D9D"/>
    <w:rsid w:val="4C59524B"/>
    <w:rsid w:val="4C662E7F"/>
    <w:rsid w:val="4C6D4FD8"/>
    <w:rsid w:val="4C7450FB"/>
    <w:rsid w:val="4C956109"/>
    <w:rsid w:val="4CA106F6"/>
    <w:rsid w:val="4CAC7257"/>
    <w:rsid w:val="4CBC2827"/>
    <w:rsid w:val="4CC0351C"/>
    <w:rsid w:val="4CDD2221"/>
    <w:rsid w:val="4CEC7C13"/>
    <w:rsid w:val="4D1737DC"/>
    <w:rsid w:val="4D2E5116"/>
    <w:rsid w:val="4D4946C3"/>
    <w:rsid w:val="4D6215E1"/>
    <w:rsid w:val="4D667D39"/>
    <w:rsid w:val="4D6A6CFA"/>
    <w:rsid w:val="4D8C427F"/>
    <w:rsid w:val="4D971AB6"/>
    <w:rsid w:val="4DB579D1"/>
    <w:rsid w:val="4DBD70EB"/>
    <w:rsid w:val="4E023360"/>
    <w:rsid w:val="4E44138D"/>
    <w:rsid w:val="4E6E459C"/>
    <w:rsid w:val="4E98618A"/>
    <w:rsid w:val="4E9D352C"/>
    <w:rsid w:val="4EB95E17"/>
    <w:rsid w:val="4ECC43FA"/>
    <w:rsid w:val="4ED45410"/>
    <w:rsid w:val="4F22226C"/>
    <w:rsid w:val="4F6B02B8"/>
    <w:rsid w:val="4F72409C"/>
    <w:rsid w:val="4F765628"/>
    <w:rsid w:val="4FA43165"/>
    <w:rsid w:val="4FB6214D"/>
    <w:rsid w:val="4FBB17C3"/>
    <w:rsid w:val="4FFA2095"/>
    <w:rsid w:val="4FFE69DA"/>
    <w:rsid w:val="5026794E"/>
    <w:rsid w:val="50622F78"/>
    <w:rsid w:val="50645753"/>
    <w:rsid w:val="50A75B2B"/>
    <w:rsid w:val="50A93BA8"/>
    <w:rsid w:val="50C71EB1"/>
    <w:rsid w:val="50D27CA9"/>
    <w:rsid w:val="50E40335"/>
    <w:rsid w:val="50E65CE2"/>
    <w:rsid w:val="51024103"/>
    <w:rsid w:val="511D204B"/>
    <w:rsid w:val="511E0033"/>
    <w:rsid w:val="51202751"/>
    <w:rsid w:val="51366F1E"/>
    <w:rsid w:val="5143280B"/>
    <w:rsid w:val="51450494"/>
    <w:rsid w:val="51546F21"/>
    <w:rsid w:val="518A1586"/>
    <w:rsid w:val="51A86476"/>
    <w:rsid w:val="51B76F1C"/>
    <w:rsid w:val="51DD620D"/>
    <w:rsid w:val="51E43809"/>
    <w:rsid w:val="51EC522D"/>
    <w:rsid w:val="51F83F85"/>
    <w:rsid w:val="52051862"/>
    <w:rsid w:val="52171C6D"/>
    <w:rsid w:val="52245275"/>
    <w:rsid w:val="522A5D40"/>
    <w:rsid w:val="523C30F7"/>
    <w:rsid w:val="52535651"/>
    <w:rsid w:val="52592449"/>
    <w:rsid w:val="52640C1A"/>
    <w:rsid w:val="526F07A1"/>
    <w:rsid w:val="528079D5"/>
    <w:rsid w:val="52950FA7"/>
    <w:rsid w:val="52C5188C"/>
    <w:rsid w:val="53163533"/>
    <w:rsid w:val="534C5B09"/>
    <w:rsid w:val="538D6EA3"/>
    <w:rsid w:val="53A46AC8"/>
    <w:rsid w:val="53AF5A3E"/>
    <w:rsid w:val="54055868"/>
    <w:rsid w:val="541B4188"/>
    <w:rsid w:val="544111E8"/>
    <w:rsid w:val="5444354A"/>
    <w:rsid w:val="545669AB"/>
    <w:rsid w:val="547A6B2A"/>
    <w:rsid w:val="549277AF"/>
    <w:rsid w:val="54B458B3"/>
    <w:rsid w:val="550431D5"/>
    <w:rsid w:val="551D6AF9"/>
    <w:rsid w:val="55313DB7"/>
    <w:rsid w:val="55386142"/>
    <w:rsid w:val="554271C4"/>
    <w:rsid w:val="55497942"/>
    <w:rsid w:val="554C1B47"/>
    <w:rsid w:val="55937A20"/>
    <w:rsid w:val="55A60ADC"/>
    <w:rsid w:val="55B32567"/>
    <w:rsid w:val="55C20305"/>
    <w:rsid w:val="55D857C5"/>
    <w:rsid w:val="55DD5518"/>
    <w:rsid w:val="55E13235"/>
    <w:rsid w:val="56253A26"/>
    <w:rsid w:val="5638334C"/>
    <w:rsid w:val="56780FF9"/>
    <w:rsid w:val="56870578"/>
    <w:rsid w:val="569241C0"/>
    <w:rsid w:val="56944288"/>
    <w:rsid w:val="56A1616C"/>
    <w:rsid w:val="56A33B67"/>
    <w:rsid w:val="56A40E03"/>
    <w:rsid w:val="56E20A0E"/>
    <w:rsid w:val="57053D37"/>
    <w:rsid w:val="570606C5"/>
    <w:rsid w:val="5712602C"/>
    <w:rsid w:val="5737516A"/>
    <w:rsid w:val="57431AE0"/>
    <w:rsid w:val="57631674"/>
    <w:rsid w:val="576612EC"/>
    <w:rsid w:val="57730A91"/>
    <w:rsid w:val="5780384C"/>
    <w:rsid w:val="57A27BD5"/>
    <w:rsid w:val="57A91214"/>
    <w:rsid w:val="57C762A2"/>
    <w:rsid w:val="57D8435E"/>
    <w:rsid w:val="57E71A09"/>
    <w:rsid w:val="57EF4CB5"/>
    <w:rsid w:val="5812512F"/>
    <w:rsid w:val="5824440C"/>
    <w:rsid w:val="58451B93"/>
    <w:rsid w:val="58501BF8"/>
    <w:rsid w:val="58575B68"/>
    <w:rsid w:val="58644BBE"/>
    <w:rsid w:val="587179A2"/>
    <w:rsid w:val="587249A9"/>
    <w:rsid w:val="587747DC"/>
    <w:rsid w:val="58876FB5"/>
    <w:rsid w:val="588C140C"/>
    <w:rsid w:val="58A8515F"/>
    <w:rsid w:val="58B21650"/>
    <w:rsid w:val="58B4639F"/>
    <w:rsid w:val="58BA7E39"/>
    <w:rsid w:val="58C00F3E"/>
    <w:rsid w:val="58CB15BF"/>
    <w:rsid w:val="58D92DFA"/>
    <w:rsid w:val="58E6255C"/>
    <w:rsid w:val="590F1AB3"/>
    <w:rsid w:val="59103E6F"/>
    <w:rsid w:val="59210EF5"/>
    <w:rsid w:val="59227859"/>
    <w:rsid w:val="59373C72"/>
    <w:rsid w:val="5945207E"/>
    <w:rsid w:val="594C09E6"/>
    <w:rsid w:val="59542A56"/>
    <w:rsid w:val="595B4F2E"/>
    <w:rsid w:val="5967369D"/>
    <w:rsid w:val="596D221D"/>
    <w:rsid w:val="59A237B5"/>
    <w:rsid w:val="59A72CEF"/>
    <w:rsid w:val="59A77712"/>
    <w:rsid w:val="59CA2603"/>
    <w:rsid w:val="59CB276C"/>
    <w:rsid w:val="5A3C2A78"/>
    <w:rsid w:val="5A5F25C6"/>
    <w:rsid w:val="5A72604D"/>
    <w:rsid w:val="5A7476F4"/>
    <w:rsid w:val="5A7F77CE"/>
    <w:rsid w:val="5A850BFD"/>
    <w:rsid w:val="5A8E77E6"/>
    <w:rsid w:val="5AA20C09"/>
    <w:rsid w:val="5AB521E6"/>
    <w:rsid w:val="5ABC5F71"/>
    <w:rsid w:val="5AD20F31"/>
    <w:rsid w:val="5AF81EC0"/>
    <w:rsid w:val="5B03798B"/>
    <w:rsid w:val="5B06742A"/>
    <w:rsid w:val="5B0E4DAE"/>
    <w:rsid w:val="5B0E6862"/>
    <w:rsid w:val="5B1751FE"/>
    <w:rsid w:val="5B3562CA"/>
    <w:rsid w:val="5B377A1D"/>
    <w:rsid w:val="5B4D14FF"/>
    <w:rsid w:val="5B58464F"/>
    <w:rsid w:val="5B8509D1"/>
    <w:rsid w:val="5B8B2F47"/>
    <w:rsid w:val="5B8F47E5"/>
    <w:rsid w:val="5B90297B"/>
    <w:rsid w:val="5BB6654E"/>
    <w:rsid w:val="5C104E51"/>
    <w:rsid w:val="5C11606C"/>
    <w:rsid w:val="5C11763B"/>
    <w:rsid w:val="5C3253F7"/>
    <w:rsid w:val="5C4B3D62"/>
    <w:rsid w:val="5C4E0A2D"/>
    <w:rsid w:val="5C524815"/>
    <w:rsid w:val="5C64452B"/>
    <w:rsid w:val="5C7719CE"/>
    <w:rsid w:val="5C8E79BD"/>
    <w:rsid w:val="5CA6604A"/>
    <w:rsid w:val="5CC04E72"/>
    <w:rsid w:val="5CC82B3B"/>
    <w:rsid w:val="5D0F7A73"/>
    <w:rsid w:val="5D257F23"/>
    <w:rsid w:val="5D2719C9"/>
    <w:rsid w:val="5D285026"/>
    <w:rsid w:val="5D3362AB"/>
    <w:rsid w:val="5D5C0E3F"/>
    <w:rsid w:val="5D5E619D"/>
    <w:rsid w:val="5D5F6439"/>
    <w:rsid w:val="5D697358"/>
    <w:rsid w:val="5D747A99"/>
    <w:rsid w:val="5D9249ED"/>
    <w:rsid w:val="5DA1646B"/>
    <w:rsid w:val="5DC926EA"/>
    <w:rsid w:val="5DD7329D"/>
    <w:rsid w:val="5DDC5DDB"/>
    <w:rsid w:val="5DF04FFA"/>
    <w:rsid w:val="5E063C72"/>
    <w:rsid w:val="5E0C15D4"/>
    <w:rsid w:val="5E19167C"/>
    <w:rsid w:val="5E3C01D4"/>
    <w:rsid w:val="5E5C03DC"/>
    <w:rsid w:val="5E6F443D"/>
    <w:rsid w:val="5E70354F"/>
    <w:rsid w:val="5E8C7523"/>
    <w:rsid w:val="5E94632E"/>
    <w:rsid w:val="5E9C2B92"/>
    <w:rsid w:val="5EB82786"/>
    <w:rsid w:val="5EB94C72"/>
    <w:rsid w:val="5EBC7242"/>
    <w:rsid w:val="5F021772"/>
    <w:rsid w:val="5F0D2E8F"/>
    <w:rsid w:val="5F111534"/>
    <w:rsid w:val="5F2541B1"/>
    <w:rsid w:val="5F2E1FB7"/>
    <w:rsid w:val="5F472128"/>
    <w:rsid w:val="5F724B4A"/>
    <w:rsid w:val="5F804106"/>
    <w:rsid w:val="5F8E0C9A"/>
    <w:rsid w:val="5F9A4C50"/>
    <w:rsid w:val="5FBC6FFC"/>
    <w:rsid w:val="5FD2151E"/>
    <w:rsid w:val="5FD91B32"/>
    <w:rsid w:val="5FDE3D1C"/>
    <w:rsid w:val="5FEB36B0"/>
    <w:rsid w:val="5FEE5C03"/>
    <w:rsid w:val="60065292"/>
    <w:rsid w:val="60070235"/>
    <w:rsid w:val="60247960"/>
    <w:rsid w:val="60337FBD"/>
    <w:rsid w:val="60557909"/>
    <w:rsid w:val="608B596D"/>
    <w:rsid w:val="608D747B"/>
    <w:rsid w:val="60A34A96"/>
    <w:rsid w:val="60B20DDE"/>
    <w:rsid w:val="60CF6017"/>
    <w:rsid w:val="60D07D7A"/>
    <w:rsid w:val="60E9091C"/>
    <w:rsid w:val="60EC58A1"/>
    <w:rsid w:val="60F765D6"/>
    <w:rsid w:val="61504A17"/>
    <w:rsid w:val="61731FF9"/>
    <w:rsid w:val="619B0A4D"/>
    <w:rsid w:val="61A5677E"/>
    <w:rsid w:val="61BC5698"/>
    <w:rsid w:val="61C05E29"/>
    <w:rsid w:val="61CA2465"/>
    <w:rsid w:val="61E220CA"/>
    <w:rsid w:val="620132EC"/>
    <w:rsid w:val="620E0D6B"/>
    <w:rsid w:val="621F3A28"/>
    <w:rsid w:val="622919DE"/>
    <w:rsid w:val="623817CD"/>
    <w:rsid w:val="623C244B"/>
    <w:rsid w:val="62461423"/>
    <w:rsid w:val="625671C6"/>
    <w:rsid w:val="626D5F1F"/>
    <w:rsid w:val="628D5A05"/>
    <w:rsid w:val="629635F2"/>
    <w:rsid w:val="62A768B8"/>
    <w:rsid w:val="62B26831"/>
    <w:rsid w:val="62DB156F"/>
    <w:rsid w:val="62E0001C"/>
    <w:rsid w:val="62E35C5C"/>
    <w:rsid w:val="6308602C"/>
    <w:rsid w:val="630F26B0"/>
    <w:rsid w:val="632F70A5"/>
    <w:rsid w:val="63655BF1"/>
    <w:rsid w:val="637204AE"/>
    <w:rsid w:val="6381414F"/>
    <w:rsid w:val="638E7A78"/>
    <w:rsid w:val="63901C9C"/>
    <w:rsid w:val="63A6496D"/>
    <w:rsid w:val="63A83FEC"/>
    <w:rsid w:val="63D92053"/>
    <w:rsid w:val="63E37B79"/>
    <w:rsid w:val="63E853DA"/>
    <w:rsid w:val="63FC1B88"/>
    <w:rsid w:val="64035403"/>
    <w:rsid w:val="64393E88"/>
    <w:rsid w:val="644B7717"/>
    <w:rsid w:val="644D4301"/>
    <w:rsid w:val="6477289B"/>
    <w:rsid w:val="648578B4"/>
    <w:rsid w:val="649176C0"/>
    <w:rsid w:val="64987293"/>
    <w:rsid w:val="649E57C1"/>
    <w:rsid w:val="64A11F98"/>
    <w:rsid w:val="64B9138C"/>
    <w:rsid w:val="64D43BB1"/>
    <w:rsid w:val="64D442AC"/>
    <w:rsid w:val="64D911C7"/>
    <w:rsid w:val="64E504A3"/>
    <w:rsid w:val="64E67E3E"/>
    <w:rsid w:val="650401CF"/>
    <w:rsid w:val="65053D6A"/>
    <w:rsid w:val="650B5452"/>
    <w:rsid w:val="65205814"/>
    <w:rsid w:val="653D52DC"/>
    <w:rsid w:val="655373D5"/>
    <w:rsid w:val="65904230"/>
    <w:rsid w:val="659D4F4E"/>
    <w:rsid w:val="65A300A1"/>
    <w:rsid w:val="65A42830"/>
    <w:rsid w:val="65DA73CC"/>
    <w:rsid w:val="65DB5C3D"/>
    <w:rsid w:val="65DC330D"/>
    <w:rsid w:val="65E935AE"/>
    <w:rsid w:val="660D2ED6"/>
    <w:rsid w:val="661E1587"/>
    <w:rsid w:val="66243E60"/>
    <w:rsid w:val="66552ACF"/>
    <w:rsid w:val="666631F7"/>
    <w:rsid w:val="66780DEE"/>
    <w:rsid w:val="668E1E21"/>
    <w:rsid w:val="66926F8C"/>
    <w:rsid w:val="66966882"/>
    <w:rsid w:val="66AB117E"/>
    <w:rsid w:val="66D269D6"/>
    <w:rsid w:val="66E3030C"/>
    <w:rsid w:val="66F269C9"/>
    <w:rsid w:val="671B09DB"/>
    <w:rsid w:val="672407FB"/>
    <w:rsid w:val="67285BDC"/>
    <w:rsid w:val="672E0C35"/>
    <w:rsid w:val="67341693"/>
    <w:rsid w:val="674F02BB"/>
    <w:rsid w:val="67724AF6"/>
    <w:rsid w:val="677F7E04"/>
    <w:rsid w:val="67C1521F"/>
    <w:rsid w:val="67DA328C"/>
    <w:rsid w:val="67FB2FC2"/>
    <w:rsid w:val="68322C3A"/>
    <w:rsid w:val="6838125F"/>
    <w:rsid w:val="6838511C"/>
    <w:rsid w:val="684E7153"/>
    <w:rsid w:val="688B5F0F"/>
    <w:rsid w:val="688D02FE"/>
    <w:rsid w:val="68942469"/>
    <w:rsid w:val="689A4745"/>
    <w:rsid w:val="68A270B1"/>
    <w:rsid w:val="69522C18"/>
    <w:rsid w:val="69560D87"/>
    <w:rsid w:val="69624B7D"/>
    <w:rsid w:val="6975772E"/>
    <w:rsid w:val="69A85914"/>
    <w:rsid w:val="69B1626F"/>
    <w:rsid w:val="69B54893"/>
    <w:rsid w:val="69F0666F"/>
    <w:rsid w:val="69F91518"/>
    <w:rsid w:val="69FA018D"/>
    <w:rsid w:val="6A0C2C57"/>
    <w:rsid w:val="6A25465E"/>
    <w:rsid w:val="6A3133B9"/>
    <w:rsid w:val="6A3A1C59"/>
    <w:rsid w:val="6A572716"/>
    <w:rsid w:val="6A5A768C"/>
    <w:rsid w:val="6A744DEA"/>
    <w:rsid w:val="6A87076D"/>
    <w:rsid w:val="6A9454E3"/>
    <w:rsid w:val="6AB53B3C"/>
    <w:rsid w:val="6ACE133C"/>
    <w:rsid w:val="6ACF2D0F"/>
    <w:rsid w:val="6AE352DA"/>
    <w:rsid w:val="6AF64881"/>
    <w:rsid w:val="6AFC0247"/>
    <w:rsid w:val="6AFC23BD"/>
    <w:rsid w:val="6B287CCA"/>
    <w:rsid w:val="6B37191E"/>
    <w:rsid w:val="6BA33D44"/>
    <w:rsid w:val="6BB838E4"/>
    <w:rsid w:val="6BE7241B"/>
    <w:rsid w:val="6C3118E9"/>
    <w:rsid w:val="6C4068D5"/>
    <w:rsid w:val="6C427652"/>
    <w:rsid w:val="6C8568B5"/>
    <w:rsid w:val="6C966E13"/>
    <w:rsid w:val="6CA86217"/>
    <w:rsid w:val="6CB00C5D"/>
    <w:rsid w:val="6CB56076"/>
    <w:rsid w:val="6CD209D6"/>
    <w:rsid w:val="6CF84967"/>
    <w:rsid w:val="6CFC3CA5"/>
    <w:rsid w:val="6D0441AB"/>
    <w:rsid w:val="6D1234C8"/>
    <w:rsid w:val="6D2E2166"/>
    <w:rsid w:val="6D346119"/>
    <w:rsid w:val="6D4150D0"/>
    <w:rsid w:val="6D481945"/>
    <w:rsid w:val="6D5C2995"/>
    <w:rsid w:val="6D6650F6"/>
    <w:rsid w:val="6D6D32A5"/>
    <w:rsid w:val="6D7B403E"/>
    <w:rsid w:val="6D8C5028"/>
    <w:rsid w:val="6D9317CF"/>
    <w:rsid w:val="6D96704E"/>
    <w:rsid w:val="6DC74DFF"/>
    <w:rsid w:val="6DCF228D"/>
    <w:rsid w:val="6DE8706F"/>
    <w:rsid w:val="6DEC7B87"/>
    <w:rsid w:val="6DF03F6B"/>
    <w:rsid w:val="6E005A16"/>
    <w:rsid w:val="6E4A41A2"/>
    <w:rsid w:val="6E9A783A"/>
    <w:rsid w:val="6E9B4D33"/>
    <w:rsid w:val="6EA4017B"/>
    <w:rsid w:val="6EF06A3A"/>
    <w:rsid w:val="6F080819"/>
    <w:rsid w:val="6F231086"/>
    <w:rsid w:val="6F2C1077"/>
    <w:rsid w:val="6F4412DE"/>
    <w:rsid w:val="6F4A3EE7"/>
    <w:rsid w:val="6F775864"/>
    <w:rsid w:val="6F7B1DFE"/>
    <w:rsid w:val="6F8C01DE"/>
    <w:rsid w:val="6F9F112C"/>
    <w:rsid w:val="6FB01FF6"/>
    <w:rsid w:val="6FE27E45"/>
    <w:rsid w:val="702D3037"/>
    <w:rsid w:val="70337422"/>
    <w:rsid w:val="70637870"/>
    <w:rsid w:val="706F5986"/>
    <w:rsid w:val="70854008"/>
    <w:rsid w:val="709C1A26"/>
    <w:rsid w:val="70EE0B58"/>
    <w:rsid w:val="70FE6C18"/>
    <w:rsid w:val="71115527"/>
    <w:rsid w:val="715916C6"/>
    <w:rsid w:val="71662747"/>
    <w:rsid w:val="71F327E9"/>
    <w:rsid w:val="72144799"/>
    <w:rsid w:val="721A7F00"/>
    <w:rsid w:val="72306FB4"/>
    <w:rsid w:val="72525910"/>
    <w:rsid w:val="7272141E"/>
    <w:rsid w:val="729A51BF"/>
    <w:rsid w:val="72AE42B2"/>
    <w:rsid w:val="72B463D3"/>
    <w:rsid w:val="72C31F67"/>
    <w:rsid w:val="72D354A8"/>
    <w:rsid w:val="72D358F3"/>
    <w:rsid w:val="72E448F4"/>
    <w:rsid w:val="730F2443"/>
    <w:rsid w:val="7337630A"/>
    <w:rsid w:val="733777E5"/>
    <w:rsid w:val="733C129F"/>
    <w:rsid w:val="73486F32"/>
    <w:rsid w:val="735A1725"/>
    <w:rsid w:val="738A19B2"/>
    <w:rsid w:val="73906587"/>
    <w:rsid w:val="73CD0ED5"/>
    <w:rsid w:val="73F512A1"/>
    <w:rsid w:val="74020642"/>
    <w:rsid w:val="74055B35"/>
    <w:rsid w:val="743326A2"/>
    <w:rsid w:val="743B3304"/>
    <w:rsid w:val="74460C31"/>
    <w:rsid w:val="744F0106"/>
    <w:rsid w:val="74582108"/>
    <w:rsid w:val="745948C9"/>
    <w:rsid w:val="74600A81"/>
    <w:rsid w:val="7475488F"/>
    <w:rsid w:val="747814E9"/>
    <w:rsid w:val="74782083"/>
    <w:rsid w:val="747E7E95"/>
    <w:rsid w:val="74864594"/>
    <w:rsid w:val="7499444F"/>
    <w:rsid w:val="74F00783"/>
    <w:rsid w:val="74F21A8E"/>
    <w:rsid w:val="74FC737A"/>
    <w:rsid w:val="75092D2E"/>
    <w:rsid w:val="751F35C6"/>
    <w:rsid w:val="752673FA"/>
    <w:rsid w:val="75445278"/>
    <w:rsid w:val="755743E2"/>
    <w:rsid w:val="755A18B2"/>
    <w:rsid w:val="756D2420"/>
    <w:rsid w:val="75970948"/>
    <w:rsid w:val="75AD468E"/>
    <w:rsid w:val="75C114FE"/>
    <w:rsid w:val="75C3529A"/>
    <w:rsid w:val="75D33B60"/>
    <w:rsid w:val="75E61ACC"/>
    <w:rsid w:val="75EB0030"/>
    <w:rsid w:val="75F93477"/>
    <w:rsid w:val="75FD4DF6"/>
    <w:rsid w:val="76134D85"/>
    <w:rsid w:val="76562679"/>
    <w:rsid w:val="766B4556"/>
    <w:rsid w:val="767A1884"/>
    <w:rsid w:val="7681376B"/>
    <w:rsid w:val="76A86A13"/>
    <w:rsid w:val="76E22F47"/>
    <w:rsid w:val="76EE5395"/>
    <w:rsid w:val="76F25EB1"/>
    <w:rsid w:val="77092393"/>
    <w:rsid w:val="77106CCA"/>
    <w:rsid w:val="771405C6"/>
    <w:rsid w:val="77146DA6"/>
    <w:rsid w:val="77186802"/>
    <w:rsid w:val="77244002"/>
    <w:rsid w:val="773D560B"/>
    <w:rsid w:val="774006C1"/>
    <w:rsid w:val="7759121E"/>
    <w:rsid w:val="77846D70"/>
    <w:rsid w:val="778C19C1"/>
    <w:rsid w:val="778E4093"/>
    <w:rsid w:val="77C11F44"/>
    <w:rsid w:val="77C81353"/>
    <w:rsid w:val="77DE7388"/>
    <w:rsid w:val="77EB3293"/>
    <w:rsid w:val="78123276"/>
    <w:rsid w:val="781B6350"/>
    <w:rsid w:val="783F252C"/>
    <w:rsid w:val="78661D77"/>
    <w:rsid w:val="787542C9"/>
    <w:rsid w:val="787768D5"/>
    <w:rsid w:val="787C4A52"/>
    <w:rsid w:val="787C6D8C"/>
    <w:rsid w:val="787D1A38"/>
    <w:rsid w:val="78833D88"/>
    <w:rsid w:val="78892A22"/>
    <w:rsid w:val="78A2626B"/>
    <w:rsid w:val="78AC47D1"/>
    <w:rsid w:val="78C02044"/>
    <w:rsid w:val="78C70562"/>
    <w:rsid w:val="78F24020"/>
    <w:rsid w:val="792279DB"/>
    <w:rsid w:val="792D7A88"/>
    <w:rsid w:val="79507D3C"/>
    <w:rsid w:val="79535A94"/>
    <w:rsid w:val="7956473D"/>
    <w:rsid w:val="795E40AC"/>
    <w:rsid w:val="796C2234"/>
    <w:rsid w:val="797C1AA1"/>
    <w:rsid w:val="79987709"/>
    <w:rsid w:val="79A31DA7"/>
    <w:rsid w:val="7A1331F3"/>
    <w:rsid w:val="7A2B7F7C"/>
    <w:rsid w:val="7A41719B"/>
    <w:rsid w:val="7A4D1FE3"/>
    <w:rsid w:val="7A6411A2"/>
    <w:rsid w:val="7A8F54C8"/>
    <w:rsid w:val="7A934CC7"/>
    <w:rsid w:val="7AA329D6"/>
    <w:rsid w:val="7AB93CAD"/>
    <w:rsid w:val="7ABF531E"/>
    <w:rsid w:val="7AD96587"/>
    <w:rsid w:val="7ADD5745"/>
    <w:rsid w:val="7AFB7263"/>
    <w:rsid w:val="7B000DD1"/>
    <w:rsid w:val="7B062FF2"/>
    <w:rsid w:val="7B06618E"/>
    <w:rsid w:val="7B1E69AF"/>
    <w:rsid w:val="7B332F87"/>
    <w:rsid w:val="7B3B1E3C"/>
    <w:rsid w:val="7B4771D3"/>
    <w:rsid w:val="7B4969DA"/>
    <w:rsid w:val="7B4B57FE"/>
    <w:rsid w:val="7B694AFF"/>
    <w:rsid w:val="7B7A2964"/>
    <w:rsid w:val="7B8A7BFE"/>
    <w:rsid w:val="7B9832A2"/>
    <w:rsid w:val="7BBA7BC4"/>
    <w:rsid w:val="7BF444AB"/>
    <w:rsid w:val="7BFE0356"/>
    <w:rsid w:val="7C050FEE"/>
    <w:rsid w:val="7C1F696C"/>
    <w:rsid w:val="7C241FA4"/>
    <w:rsid w:val="7C296138"/>
    <w:rsid w:val="7C2F7F24"/>
    <w:rsid w:val="7C444CF5"/>
    <w:rsid w:val="7C4F6127"/>
    <w:rsid w:val="7C557027"/>
    <w:rsid w:val="7C774202"/>
    <w:rsid w:val="7C8141C6"/>
    <w:rsid w:val="7CB763AB"/>
    <w:rsid w:val="7CF32D47"/>
    <w:rsid w:val="7CF47DC4"/>
    <w:rsid w:val="7D1E37C3"/>
    <w:rsid w:val="7D2D7E4F"/>
    <w:rsid w:val="7D30163B"/>
    <w:rsid w:val="7D3D1C6F"/>
    <w:rsid w:val="7D697E7F"/>
    <w:rsid w:val="7D703C18"/>
    <w:rsid w:val="7D70416C"/>
    <w:rsid w:val="7D7D2444"/>
    <w:rsid w:val="7DA63EE4"/>
    <w:rsid w:val="7DB53173"/>
    <w:rsid w:val="7DBD0485"/>
    <w:rsid w:val="7DC17AA5"/>
    <w:rsid w:val="7DC346FA"/>
    <w:rsid w:val="7DCD2671"/>
    <w:rsid w:val="7DF00948"/>
    <w:rsid w:val="7DF35877"/>
    <w:rsid w:val="7E1846B6"/>
    <w:rsid w:val="7E1E4E67"/>
    <w:rsid w:val="7E357016"/>
    <w:rsid w:val="7E3760A4"/>
    <w:rsid w:val="7E3F400C"/>
    <w:rsid w:val="7E3F5C67"/>
    <w:rsid w:val="7E485A8B"/>
    <w:rsid w:val="7E660CA0"/>
    <w:rsid w:val="7E710432"/>
    <w:rsid w:val="7E784FFE"/>
    <w:rsid w:val="7E835EDA"/>
    <w:rsid w:val="7E8C722C"/>
    <w:rsid w:val="7ECB34D7"/>
    <w:rsid w:val="7EED5B43"/>
    <w:rsid w:val="7F0D36A8"/>
    <w:rsid w:val="7F0D6F9B"/>
    <w:rsid w:val="7F267E5E"/>
    <w:rsid w:val="7F272E03"/>
    <w:rsid w:val="7F4064BF"/>
    <w:rsid w:val="7F4C4618"/>
    <w:rsid w:val="7F511034"/>
    <w:rsid w:val="7FA21F85"/>
    <w:rsid w:val="7FB12B06"/>
    <w:rsid w:val="7FB85535"/>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jc w:val="center"/>
      <w:outlineLvl w:val="0"/>
    </w:pPr>
    <w:rPr>
      <w:b/>
      <w:bCs/>
      <w:kern w:val="0"/>
      <w:sz w:val="24"/>
      <w:szCs w:val="20"/>
    </w:rPr>
  </w:style>
  <w:style w:type="paragraph" w:styleId="4">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4"/>
    <w:qFormat/>
    <w:uiPriority w:val="99"/>
    <w:pPr>
      <w:widowControl/>
      <w:ind w:firstLine="420"/>
      <w:jc w:val="left"/>
    </w:pPr>
    <w:rPr>
      <w:kern w:val="0"/>
      <w:sz w:val="20"/>
      <w:szCs w:val="20"/>
    </w:rPr>
  </w:style>
  <w:style w:type="paragraph" w:styleId="14">
    <w:name w:val="Document Map"/>
    <w:basedOn w:val="1"/>
    <w:link w:val="128"/>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0"/>
    <w:unhideWhenUsed/>
    <w:qFormat/>
    <w:uiPriority w:val="99"/>
    <w:pPr>
      <w:jc w:val="left"/>
    </w:pPr>
  </w:style>
  <w:style w:type="paragraph" w:styleId="17">
    <w:name w:val="Salutation"/>
    <w:basedOn w:val="1"/>
    <w:next w:val="1"/>
    <w:link w:val="115"/>
    <w:qFormat/>
    <w:uiPriority w:val="0"/>
    <w:rPr>
      <w:rFonts w:ascii="仿宋_GB2312" w:eastAsia="仿宋_GB2312"/>
      <w:sz w:val="24"/>
    </w:rPr>
  </w:style>
  <w:style w:type="paragraph" w:styleId="18">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1"/>
    <w:link w:val="118"/>
    <w:qFormat/>
    <w:uiPriority w:val="99"/>
    <w:pPr>
      <w:spacing w:after="120"/>
    </w:pPr>
  </w:style>
  <w:style w:type="paragraph" w:styleId="20">
    <w:name w:val="Body Text Indent"/>
    <w:basedOn w:val="1"/>
    <w:next w:val="21"/>
    <w:link w:val="98"/>
    <w:qFormat/>
    <w:uiPriority w:val="0"/>
    <w:pPr>
      <w:spacing w:after="120"/>
      <w:ind w:left="420" w:leftChars="200"/>
    </w:pPr>
    <w:rPr>
      <w:rFonts w:ascii="Calibri" w:hAnsi="Calibri" w:cs="黑体"/>
    </w:rPr>
  </w:style>
  <w:style w:type="paragraph" w:styleId="21">
    <w:name w:val="annotation subject"/>
    <w:basedOn w:val="16"/>
    <w:next w:val="1"/>
    <w:link w:val="87"/>
    <w:qFormat/>
    <w:uiPriority w:val="0"/>
    <w:rPr>
      <w:rFonts w:ascii="Calibri" w:hAnsi="Calibri" w:cs="黑体"/>
      <w:b/>
      <w:bCs/>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39"/>
    <w:pPr>
      <w:ind w:left="840" w:leftChars="400"/>
    </w:pPr>
  </w:style>
  <w:style w:type="paragraph" w:styleId="26">
    <w:name w:val="Plain Text"/>
    <w:basedOn w:val="1"/>
    <w:link w:val="107"/>
    <w:qFormat/>
    <w:uiPriority w:val="99"/>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40"/>
    <w:qFormat/>
    <w:uiPriority w:val="0"/>
    <w:rPr>
      <w:rFonts w:ascii="Calibri" w:hAnsi="Calibri" w:cs="黑体"/>
      <w:sz w:val="24"/>
      <w:szCs w:val="22"/>
    </w:rPr>
  </w:style>
  <w:style w:type="paragraph" w:styleId="29">
    <w:name w:val="Body Text Indent 2"/>
    <w:basedOn w:val="1"/>
    <w:link w:val="102"/>
    <w:qFormat/>
    <w:uiPriority w:val="0"/>
    <w:pPr>
      <w:spacing w:after="120" w:line="480" w:lineRule="auto"/>
      <w:ind w:left="420" w:leftChars="200"/>
    </w:pPr>
  </w:style>
  <w:style w:type="paragraph" w:styleId="30">
    <w:name w:val="Balloon Text"/>
    <w:basedOn w:val="1"/>
    <w:link w:val="97"/>
    <w:qFormat/>
    <w:uiPriority w:val="0"/>
    <w:rPr>
      <w:rFonts w:ascii="Calibri" w:hAnsi="Calibri" w:cs="黑体"/>
      <w:sz w:val="18"/>
      <w:szCs w:val="18"/>
    </w:rPr>
  </w:style>
  <w:style w:type="paragraph" w:styleId="31">
    <w:name w:val="footer"/>
    <w:basedOn w:val="1"/>
    <w:link w:val="63"/>
    <w:unhideWhenUsed/>
    <w:qFormat/>
    <w:uiPriority w:val="0"/>
    <w:pPr>
      <w:tabs>
        <w:tab w:val="center" w:pos="4153"/>
        <w:tab w:val="right" w:pos="8306"/>
      </w:tabs>
      <w:snapToGrid w:val="0"/>
      <w:jc w:val="left"/>
    </w:pPr>
    <w:rPr>
      <w:sz w:val="18"/>
      <w:szCs w:val="18"/>
    </w:rPr>
  </w:style>
  <w:style w:type="paragraph" w:styleId="32">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5"/>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25"/>
    <w:qFormat/>
    <w:uiPriority w:val="0"/>
    <w:pPr>
      <w:spacing w:after="120"/>
      <w:ind w:left="420" w:leftChars="200"/>
    </w:pPr>
    <w:rPr>
      <w:rFonts w:ascii="Calibri" w:hAnsi="Calibri" w:cs="黑体"/>
      <w:sz w:val="16"/>
      <w:szCs w:val="16"/>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73"/>
    <w:qFormat/>
    <w:uiPriority w:val="0"/>
    <w:pPr>
      <w:spacing w:after="120" w:line="480" w:lineRule="auto"/>
    </w:p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101"/>
    <w:qFormat/>
    <w:uiPriority w:val="0"/>
    <w:pPr>
      <w:spacing w:before="240" w:after="60"/>
      <w:jc w:val="center"/>
      <w:outlineLvl w:val="0"/>
    </w:pPr>
    <w:rPr>
      <w:rFonts w:ascii="Cambria" w:hAnsi="Cambria"/>
      <w:b/>
      <w:sz w:val="32"/>
    </w:rPr>
  </w:style>
  <w:style w:type="paragraph" w:styleId="45">
    <w:name w:val="Body Text First Indent"/>
    <w:basedOn w:val="19"/>
    <w:link w:val="367"/>
    <w:unhideWhenUsed/>
    <w:qFormat/>
    <w:uiPriority w:val="0"/>
    <w:pPr>
      <w:spacing w:line="500" w:lineRule="exact"/>
      <w:ind w:firstLine="420" w:firstLineChars="200"/>
    </w:pPr>
  </w:style>
  <w:style w:type="paragraph" w:styleId="46">
    <w:name w:val="Body Text First Indent 2"/>
    <w:basedOn w:val="20"/>
    <w:link w:val="368"/>
    <w:qFormat/>
    <w:uiPriority w:val="6"/>
    <w:pPr>
      <w:ind w:firstLine="420"/>
      <w:jc w:val="left"/>
    </w:pPr>
    <w:rPr>
      <w:rFonts w:cs="Calibri"/>
      <w:kern w:val="0"/>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basedOn w:val="49"/>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字符"/>
    <w:basedOn w:val="49"/>
    <w:link w:val="32"/>
    <w:qFormat/>
    <w:uiPriority w:val="0"/>
    <w:rPr>
      <w:sz w:val="18"/>
      <w:szCs w:val="18"/>
    </w:rPr>
  </w:style>
  <w:style w:type="character" w:customStyle="1" w:styleId="63">
    <w:name w:val="页脚 字符"/>
    <w:basedOn w:val="49"/>
    <w:link w:val="31"/>
    <w:qFormat/>
    <w:uiPriority w:val="0"/>
    <w:rPr>
      <w:sz w:val="18"/>
      <w:szCs w:val="18"/>
    </w:rPr>
  </w:style>
  <w:style w:type="character" w:customStyle="1" w:styleId="64">
    <w:name w:val="标题 1 字符"/>
    <w:basedOn w:val="49"/>
    <w:link w:val="3"/>
    <w:qFormat/>
    <w:uiPriority w:val="0"/>
    <w:rPr>
      <w:rFonts w:ascii="Times New Roman" w:hAnsi="Times New Roman" w:eastAsia="宋体" w:cs="Times New Roman"/>
      <w:b/>
      <w:bCs/>
      <w:kern w:val="0"/>
      <w:sz w:val="24"/>
      <w:szCs w:val="20"/>
    </w:rPr>
  </w:style>
  <w:style w:type="character" w:customStyle="1" w:styleId="65">
    <w:name w:val="标题 2 字符"/>
    <w:basedOn w:val="49"/>
    <w:link w:val="4"/>
    <w:qFormat/>
    <w:uiPriority w:val="0"/>
    <w:rPr>
      <w:rFonts w:ascii="Arial" w:hAnsi="Arial" w:eastAsia="宋体" w:cs="Times New Roman"/>
      <w:b/>
      <w:bCs/>
      <w:kern w:val="0"/>
      <w:sz w:val="24"/>
      <w:szCs w:val="32"/>
    </w:rPr>
  </w:style>
  <w:style w:type="character" w:customStyle="1" w:styleId="66">
    <w:name w:val="标题 3 字符"/>
    <w:basedOn w:val="49"/>
    <w:link w:val="5"/>
    <w:qFormat/>
    <w:uiPriority w:val="0"/>
    <w:rPr>
      <w:rFonts w:ascii="Times New Roman" w:hAnsi="Times New Roman" w:eastAsia="宋体" w:cs="Times New Roman"/>
      <w:b/>
      <w:bCs/>
      <w:kern w:val="0"/>
      <w:sz w:val="32"/>
      <w:szCs w:val="32"/>
    </w:rPr>
  </w:style>
  <w:style w:type="character" w:customStyle="1" w:styleId="67">
    <w:name w:val="标题 4 字符"/>
    <w:basedOn w:val="49"/>
    <w:link w:val="6"/>
    <w:qFormat/>
    <w:uiPriority w:val="0"/>
    <w:rPr>
      <w:rFonts w:ascii="Arial" w:hAnsi="Arial" w:eastAsia="黑体" w:cs="Times New Roman"/>
      <w:b/>
      <w:bCs/>
      <w:kern w:val="0"/>
      <w:sz w:val="28"/>
      <w:szCs w:val="28"/>
    </w:rPr>
  </w:style>
  <w:style w:type="character" w:customStyle="1" w:styleId="68">
    <w:name w:val="标题 5 字符"/>
    <w:basedOn w:val="49"/>
    <w:link w:val="7"/>
    <w:qFormat/>
    <w:uiPriority w:val="0"/>
    <w:rPr>
      <w:rFonts w:ascii="Times New Roman" w:hAnsi="Times New Roman" w:eastAsia="宋体" w:cs="Times New Roman"/>
      <w:b/>
      <w:bCs/>
      <w:kern w:val="0"/>
      <w:sz w:val="28"/>
      <w:szCs w:val="28"/>
    </w:rPr>
  </w:style>
  <w:style w:type="character" w:customStyle="1" w:styleId="69">
    <w:name w:val="标题 6 字符"/>
    <w:basedOn w:val="49"/>
    <w:link w:val="8"/>
    <w:qFormat/>
    <w:uiPriority w:val="0"/>
    <w:rPr>
      <w:rFonts w:ascii="Arial" w:hAnsi="Arial" w:eastAsia="黑体" w:cs="Times New Roman"/>
      <w:b/>
      <w:bCs/>
      <w:kern w:val="0"/>
      <w:sz w:val="24"/>
      <w:szCs w:val="24"/>
    </w:rPr>
  </w:style>
  <w:style w:type="character" w:customStyle="1" w:styleId="70">
    <w:name w:val="标题 7 字符"/>
    <w:basedOn w:val="49"/>
    <w:link w:val="9"/>
    <w:qFormat/>
    <w:uiPriority w:val="0"/>
    <w:rPr>
      <w:rFonts w:ascii="Times New Roman" w:hAnsi="Times New Roman" w:eastAsia="宋体" w:cs="Times New Roman"/>
      <w:b/>
      <w:bCs/>
      <w:kern w:val="0"/>
      <w:sz w:val="24"/>
      <w:szCs w:val="24"/>
    </w:rPr>
  </w:style>
  <w:style w:type="character" w:customStyle="1" w:styleId="71">
    <w:name w:val="标题 8 字符"/>
    <w:basedOn w:val="49"/>
    <w:link w:val="10"/>
    <w:qFormat/>
    <w:uiPriority w:val="0"/>
    <w:rPr>
      <w:rFonts w:ascii="Arial" w:hAnsi="Arial" w:eastAsia="黑体" w:cs="Times New Roman"/>
      <w:kern w:val="0"/>
      <w:sz w:val="24"/>
      <w:szCs w:val="24"/>
    </w:rPr>
  </w:style>
  <w:style w:type="character" w:customStyle="1" w:styleId="72">
    <w:name w:val="标题 9 字符"/>
    <w:basedOn w:val="49"/>
    <w:link w:val="11"/>
    <w:qFormat/>
    <w:uiPriority w:val="0"/>
    <w:rPr>
      <w:rFonts w:ascii="Arial" w:hAnsi="Arial" w:eastAsia="黑体" w:cs="Times New Roman"/>
      <w:kern w:val="0"/>
      <w:sz w:val="20"/>
      <w:szCs w:val="21"/>
    </w:rPr>
  </w:style>
  <w:style w:type="character" w:customStyle="1" w:styleId="73">
    <w:name w:val="正文文本 2 字符"/>
    <w:basedOn w:val="49"/>
    <w:link w:val="40"/>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字符"/>
    <w:link w:val="21"/>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字符"/>
    <w:link w:val="30"/>
    <w:qFormat/>
    <w:locked/>
    <w:uiPriority w:val="0"/>
    <w:rPr>
      <w:rFonts w:ascii="Calibri" w:hAnsi="Calibri" w:eastAsia="宋体" w:cs="黑体"/>
      <w:sz w:val="18"/>
      <w:szCs w:val="18"/>
    </w:rPr>
  </w:style>
  <w:style w:type="character" w:customStyle="1" w:styleId="98">
    <w:name w:val="正文文本缩进 字符"/>
    <w:basedOn w:val="49"/>
    <w:link w:val="20"/>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字符"/>
    <w:basedOn w:val="49"/>
    <w:link w:val="44"/>
    <w:qFormat/>
    <w:uiPriority w:val="0"/>
    <w:rPr>
      <w:rFonts w:ascii="Cambria" w:hAnsi="Cambria" w:eastAsia="宋体" w:cs="Times New Roman"/>
      <w:b/>
      <w:sz w:val="32"/>
      <w:szCs w:val="24"/>
    </w:rPr>
  </w:style>
  <w:style w:type="character" w:customStyle="1" w:styleId="102">
    <w:name w:val="正文文本缩进 2 字符"/>
    <w:basedOn w:val="49"/>
    <w:link w:val="29"/>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字符"/>
    <w:basedOn w:val="49"/>
    <w:link w:val="26"/>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字符"/>
    <w:basedOn w:val="49"/>
    <w:link w:val="16"/>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字符"/>
    <w:basedOn w:val="49"/>
    <w:link w:val="41"/>
    <w:qFormat/>
    <w:uiPriority w:val="0"/>
    <w:rPr>
      <w:rFonts w:ascii="Arial" w:hAnsi="Arial" w:eastAsia="宋体" w:cs="Arial"/>
      <w:kern w:val="0"/>
      <w:sz w:val="24"/>
      <w:szCs w:val="24"/>
    </w:rPr>
  </w:style>
  <w:style w:type="character" w:customStyle="1" w:styleId="115">
    <w:name w:val="称呼 字符"/>
    <w:basedOn w:val="49"/>
    <w:link w:val="17"/>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字符"/>
    <w:basedOn w:val="49"/>
    <w:link w:val="19"/>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字符"/>
    <w:link w:val="37"/>
    <w:qFormat/>
    <w:uiPriority w:val="0"/>
    <w:rPr>
      <w:rFonts w:ascii="Calibri" w:hAnsi="Calibri" w:eastAsia="宋体" w:cs="黑体"/>
      <w:sz w:val="16"/>
      <w:szCs w:val="16"/>
    </w:rPr>
  </w:style>
  <w:style w:type="character" w:customStyle="1" w:styleId="126">
    <w:name w:val="副标题 字符"/>
    <w:basedOn w:val="49"/>
    <w:link w:val="35"/>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字符"/>
    <w:basedOn w:val="49"/>
    <w:link w:val="14"/>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字符"/>
    <w:link w:val="28"/>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文本首行缩进 字符"/>
    <w:basedOn w:val="173"/>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19"/>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4"/>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4"/>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字符"/>
    <w:link w:val="13"/>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字符"/>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4"/>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6"/>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4"/>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4"/>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51"/>
    <w:basedOn w:val="49"/>
    <w:qFormat/>
    <w:uiPriority w:val="0"/>
    <w:rPr>
      <w:rFonts w:hint="eastAsia" w:ascii="宋体" w:hAnsi="宋体" w:eastAsia="宋体" w:cs="宋体"/>
      <w:b/>
      <w:color w:val="000000"/>
      <w:sz w:val="40"/>
      <w:szCs w:val="40"/>
      <w:u w:val="none"/>
    </w:rPr>
  </w:style>
  <w:style w:type="character" w:customStyle="1" w:styleId="366">
    <w:name w:val="fontstyle01"/>
    <w:qFormat/>
    <w:uiPriority w:val="0"/>
    <w:rPr>
      <w:rFonts w:hint="eastAsia" w:ascii="宋体" w:hAnsi="宋体" w:eastAsia="宋体"/>
      <w:color w:val="000000"/>
      <w:sz w:val="22"/>
      <w:szCs w:val="22"/>
    </w:rPr>
  </w:style>
  <w:style w:type="character" w:customStyle="1" w:styleId="367">
    <w:name w:val="正文首行缩进 字符"/>
    <w:link w:val="45"/>
    <w:qFormat/>
    <w:uiPriority w:val="0"/>
    <w:rPr>
      <w:rFonts w:hint="default" w:ascii="Times New Roman" w:hAnsi="Times New Roman" w:cs="Times New Roman"/>
      <w:kern w:val="2"/>
      <w:sz w:val="21"/>
      <w:szCs w:val="21"/>
    </w:rPr>
  </w:style>
  <w:style w:type="character" w:customStyle="1" w:styleId="368">
    <w:name w:val="正文首行缩进 2 字符"/>
    <w:link w:val="46"/>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AD26A-B262-4120-8595-810C38BF1AF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24294</Words>
  <Characters>25330</Characters>
  <Lines>210</Lines>
  <Paragraphs>59</Paragraphs>
  <TotalTime>14</TotalTime>
  <ScaleCrop>false</ScaleCrop>
  <LinksUpToDate>false</LinksUpToDate>
  <CharactersWithSpaces>27057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2022-09-26T16:46:00Z</dcterms:created>
  <dc:creator>李 毅</dc:creator>
  <cp:lastModifiedBy>杨喜笑</cp:lastModifiedBy>
  <cp:lastPrinted>2022-07-20T06:18:00Z</cp:lastPrinted>
  <dcterms:modified xsi:type="dcterms:W3CDTF">2023-03-31T06:31:51Z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DE37C16D0725493EA9F4441BC7553266</vt:lpwstr>
  </property>
</Properties>
</file>