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jc w:val="center"/>
        <w:rPr>
          <w:rFonts w:hAnsi="宋体"/>
          <w:b/>
          <w:bCs/>
          <w:sz w:val="52"/>
          <w:szCs w:val="52"/>
        </w:rPr>
      </w:pPr>
      <w:r>
        <w:rPr>
          <w:rFonts w:hint="eastAsia" w:hAnsi="宋体"/>
          <w:b/>
          <w:sz w:val="52"/>
          <w:szCs w:val="52"/>
        </w:rPr>
        <w:t>长沙市轨道交通运营有限公司</w:t>
      </w:r>
    </w:p>
    <w:p>
      <w:pPr>
        <w:pStyle w:val="27"/>
        <w:adjustRightInd w:val="0"/>
        <w:snapToGrid w:val="0"/>
        <w:spacing w:line="360" w:lineRule="auto"/>
        <w:jc w:val="center"/>
        <w:rPr>
          <w:rFonts w:hAnsi="宋体"/>
          <w:b/>
          <w:sz w:val="52"/>
          <w:szCs w:val="52"/>
        </w:rPr>
      </w:pPr>
      <w:r>
        <w:rPr>
          <w:rFonts w:hint="eastAsia" w:hAnsi="宋体"/>
          <w:b/>
          <w:sz w:val="52"/>
          <w:szCs w:val="52"/>
        </w:rPr>
        <w:t>自主竞争性谈判文件</w:t>
      </w:r>
    </w:p>
    <w:p>
      <w:pPr>
        <w:pStyle w:val="27"/>
        <w:adjustRightInd w:val="0"/>
        <w:snapToGrid w:val="0"/>
        <w:spacing w:before="159" w:beforeLines="50" w:line="360" w:lineRule="auto"/>
        <w:rPr>
          <w:b/>
          <w:sz w:val="32"/>
          <w:szCs w:val="32"/>
        </w:rPr>
      </w:pPr>
    </w:p>
    <w:p>
      <w:pPr>
        <w:pStyle w:val="27"/>
        <w:adjustRightInd w:val="0"/>
        <w:snapToGrid w:val="0"/>
        <w:spacing w:line="360" w:lineRule="auto"/>
        <w:rPr>
          <w:rFonts w:ascii="华文中宋" w:hAnsi="华文中宋" w:eastAsia="华文中宋"/>
          <w:sz w:val="32"/>
          <w:szCs w:val="32"/>
        </w:rPr>
      </w:pPr>
    </w:p>
    <w:p>
      <w:pPr>
        <w:spacing w:line="360" w:lineRule="auto"/>
        <w:ind w:left="2574" w:leftChars="155" w:hanging="2249" w:hangingChars="700"/>
        <w:jc w:val="left"/>
        <w:rPr>
          <w:rFonts w:hint="eastAsia" w:ascii="宋体" w:hAnsi="宋体" w:eastAsia="宋体" w:cs="Courier New"/>
          <w:b/>
          <w:sz w:val="32"/>
          <w:szCs w:val="21"/>
          <w:u w:val="single"/>
          <w:lang w:eastAsia="zh-CN"/>
        </w:rPr>
      </w:pPr>
      <w:r>
        <w:rPr>
          <w:rFonts w:hint="eastAsia" w:ascii="宋体" w:hAnsi="宋体" w:cs="Courier New"/>
          <w:b/>
          <w:sz w:val="32"/>
          <w:szCs w:val="21"/>
        </w:rPr>
        <w:t>谈判项目名称：</w:t>
      </w:r>
      <w:r>
        <w:rPr>
          <w:rFonts w:hint="eastAsia" w:ascii="宋体" w:hAnsi="宋体" w:cs="Courier New"/>
          <w:b/>
          <w:sz w:val="32"/>
          <w:szCs w:val="21"/>
          <w:u w:val="single"/>
        </w:rPr>
        <w:t>长沙市轨道交通2号线电客车首轮大修、4号线电客车首轮架修概算编制咨询服务项目</w:t>
      </w:r>
      <w:r>
        <w:rPr>
          <w:rFonts w:hint="eastAsia" w:ascii="宋体" w:hAnsi="宋体" w:cs="Courier New"/>
          <w:b/>
          <w:sz w:val="32"/>
          <w:szCs w:val="21"/>
          <w:u w:val="single"/>
          <w:lang w:eastAsia="zh-CN"/>
        </w:rPr>
        <w:t>（</w:t>
      </w:r>
      <w:r>
        <w:rPr>
          <w:rFonts w:hint="eastAsia" w:ascii="宋体" w:hAnsi="宋体" w:cs="Courier New"/>
          <w:b/>
          <w:sz w:val="32"/>
          <w:szCs w:val="21"/>
          <w:u w:val="single"/>
          <w:lang w:val="en-US" w:eastAsia="zh-CN"/>
        </w:rPr>
        <w:t>第二次</w:t>
      </w:r>
      <w:r>
        <w:rPr>
          <w:rFonts w:hint="eastAsia" w:ascii="宋体" w:hAnsi="宋体" w:cs="Courier New"/>
          <w:b/>
          <w:sz w:val="32"/>
          <w:szCs w:val="21"/>
          <w:u w:val="single"/>
          <w:lang w:eastAsia="zh-CN"/>
        </w:rPr>
        <w:t>）</w:t>
      </w:r>
    </w:p>
    <w:p>
      <w:pPr>
        <w:spacing w:line="360" w:lineRule="auto"/>
        <w:ind w:left="2240" w:firstLine="321" w:firstLineChars="100"/>
        <w:jc w:val="left"/>
        <w:rPr>
          <w:rFonts w:ascii="宋体" w:hAnsi="宋体" w:cs="Courier New"/>
          <w:b/>
          <w:sz w:val="32"/>
          <w:szCs w:val="21"/>
        </w:rPr>
      </w:pPr>
    </w:p>
    <w:p>
      <w:pPr>
        <w:pStyle w:val="27"/>
        <w:adjustRightInd w:val="0"/>
        <w:snapToGrid w:val="0"/>
        <w:spacing w:line="360" w:lineRule="auto"/>
        <w:ind w:firstLine="321" w:firstLineChars="100"/>
        <w:jc w:val="left"/>
        <w:rPr>
          <w:rFonts w:hint="eastAsia" w:hAnsi="宋体"/>
          <w:b/>
          <w:sz w:val="32"/>
          <w:highlight w:val="yellow"/>
          <w:u w:val="single"/>
        </w:rPr>
      </w:pPr>
      <w:r>
        <w:rPr>
          <w:rFonts w:hint="eastAsia" w:hAnsi="宋体"/>
          <w:b/>
          <w:sz w:val="32"/>
        </w:rPr>
        <w:t>采购单位名称：</w:t>
      </w:r>
      <w:r>
        <w:rPr>
          <w:rFonts w:hint="eastAsia" w:hAnsi="宋体"/>
          <w:b/>
          <w:sz w:val="32"/>
          <w:highlight w:val="none"/>
          <w:u w:val="single"/>
        </w:rPr>
        <w:t>长沙市轨道交通运营有限公司</w:t>
      </w:r>
    </w:p>
    <w:p>
      <w:pPr>
        <w:pStyle w:val="27"/>
        <w:adjustRightInd w:val="0"/>
        <w:snapToGrid w:val="0"/>
        <w:spacing w:line="360" w:lineRule="auto"/>
        <w:ind w:firstLine="2570" w:firstLineChars="800"/>
        <w:jc w:val="left"/>
        <w:rPr>
          <w:rFonts w:hint="eastAsia" w:hAnsi="宋体"/>
          <w:b/>
          <w:sz w:val="32"/>
          <w:u w:val="single"/>
        </w:rPr>
      </w:pPr>
      <w:r>
        <w:rPr>
          <w:rFonts w:hint="eastAsia" w:hAnsi="宋体"/>
          <w:b/>
          <w:sz w:val="32"/>
          <w:u w:val="single"/>
        </w:rPr>
        <w:t>长沙市轨道交通</w:t>
      </w:r>
      <w:r>
        <w:rPr>
          <w:rFonts w:hint="eastAsia" w:hAnsi="宋体"/>
          <w:b/>
          <w:sz w:val="32"/>
          <w:u w:val="single"/>
          <w:lang w:val="en-US" w:eastAsia="zh-CN"/>
        </w:rPr>
        <w:t>四</w:t>
      </w:r>
      <w:r>
        <w:rPr>
          <w:rFonts w:hint="eastAsia" w:hAnsi="宋体"/>
          <w:b/>
          <w:sz w:val="32"/>
          <w:u w:val="single"/>
        </w:rPr>
        <w:t>号线建设发展有限公司</w:t>
      </w:r>
    </w:p>
    <w:p>
      <w:pPr>
        <w:pStyle w:val="27"/>
        <w:adjustRightInd w:val="0"/>
        <w:snapToGrid w:val="0"/>
        <w:spacing w:line="360" w:lineRule="auto"/>
        <w:ind w:firstLine="2570" w:firstLineChars="800"/>
        <w:jc w:val="left"/>
        <w:rPr>
          <w:rFonts w:hint="eastAsia" w:hAnsi="宋体"/>
          <w:b/>
          <w:sz w:val="32"/>
          <w:u w:val="single"/>
        </w:rPr>
      </w:pPr>
    </w:p>
    <w:p>
      <w:pPr>
        <w:pStyle w:val="27"/>
        <w:adjustRightInd w:val="0"/>
        <w:snapToGrid w:val="0"/>
        <w:spacing w:line="360" w:lineRule="auto"/>
        <w:ind w:firstLine="321" w:firstLineChars="100"/>
        <w:jc w:val="left"/>
        <w:rPr>
          <w:rFonts w:hAnsi="宋体"/>
          <w:b/>
          <w:color w:val="FF0000"/>
          <w:sz w:val="32"/>
          <w:u w:val="single"/>
        </w:rPr>
      </w:pPr>
      <w:r>
        <w:rPr>
          <w:rFonts w:hint="eastAsia" w:hAnsi="宋体"/>
          <w:b/>
          <w:sz w:val="32"/>
        </w:rPr>
        <w:t>谈判项目编号：</w:t>
      </w:r>
      <w:r>
        <w:rPr>
          <w:rFonts w:hint="eastAsia" w:hAnsi="宋体"/>
          <w:b/>
          <w:sz w:val="32"/>
          <w:u w:val="single"/>
        </w:rPr>
        <w:t>长轨运服采【2023】001号</w:t>
      </w:r>
    </w:p>
    <w:p>
      <w:pPr>
        <w:pStyle w:val="27"/>
        <w:adjustRightInd w:val="0"/>
        <w:snapToGrid w:val="0"/>
        <w:spacing w:before="159" w:beforeLines="50" w:line="360" w:lineRule="auto"/>
        <w:rPr>
          <w:b/>
          <w:sz w:val="32"/>
          <w:szCs w:val="32"/>
        </w:rPr>
      </w:pPr>
    </w:p>
    <w:p>
      <w:pPr>
        <w:pStyle w:val="27"/>
        <w:adjustRightInd w:val="0"/>
        <w:snapToGrid w:val="0"/>
        <w:spacing w:before="159" w:beforeLines="50" w:line="360" w:lineRule="auto"/>
        <w:rPr>
          <w:b/>
          <w:sz w:val="32"/>
          <w:szCs w:val="32"/>
        </w:rPr>
      </w:pPr>
    </w:p>
    <w:p>
      <w:pPr>
        <w:pStyle w:val="27"/>
        <w:adjustRightInd w:val="0"/>
        <w:snapToGrid w:val="0"/>
        <w:spacing w:line="360" w:lineRule="auto"/>
        <w:rPr>
          <w:rFonts w:ascii="仿宋_GB2312" w:hAnsi="宋体" w:eastAsia="仿宋_GB2312"/>
          <w:b/>
          <w:sz w:val="32"/>
        </w:rPr>
      </w:pPr>
    </w:p>
    <w:p>
      <w:pPr>
        <w:pStyle w:val="27"/>
        <w:adjustRightInd w:val="0"/>
        <w:snapToGrid w:val="0"/>
        <w:spacing w:line="360" w:lineRule="auto"/>
        <w:rPr>
          <w:rFonts w:ascii="仿宋_GB2312" w:hAnsi="宋体" w:eastAsia="仿宋_GB2312"/>
          <w:b/>
          <w:sz w:val="32"/>
        </w:rPr>
      </w:pPr>
    </w:p>
    <w:p>
      <w:pPr>
        <w:pStyle w:val="27"/>
        <w:adjustRightInd w:val="0"/>
        <w:snapToGrid w:val="0"/>
        <w:spacing w:line="360" w:lineRule="auto"/>
        <w:rPr>
          <w:rFonts w:ascii="仿宋_GB2312" w:hAnsi="宋体" w:eastAsia="仿宋_GB2312"/>
          <w:bCs/>
          <w:sz w:val="32"/>
        </w:rPr>
      </w:pPr>
    </w:p>
    <w:p>
      <w:pPr>
        <w:pStyle w:val="27"/>
        <w:adjustRightInd w:val="0"/>
        <w:snapToGrid w:val="0"/>
        <w:spacing w:line="360" w:lineRule="auto"/>
        <w:jc w:val="center"/>
        <w:rPr>
          <w:rFonts w:hAnsi="宋体"/>
          <w:b/>
          <w:color w:val="auto"/>
          <w:sz w:val="32"/>
          <w:highlight w:val="none"/>
        </w:rPr>
      </w:pPr>
      <w:r>
        <w:rPr>
          <w:rFonts w:hint="eastAsia" w:hAnsi="宋体"/>
          <w:b/>
          <w:sz w:val="32"/>
          <w:highlight w:val="none"/>
        </w:rPr>
        <w:t>二〇二</w:t>
      </w:r>
      <w:r>
        <w:rPr>
          <w:rFonts w:hint="eastAsia" w:hAnsi="宋体"/>
          <w:b/>
          <w:sz w:val="32"/>
          <w:highlight w:val="none"/>
          <w:lang w:val="en-US" w:eastAsia="zh-CN"/>
        </w:rPr>
        <w:t>三</w:t>
      </w:r>
      <w:r>
        <w:rPr>
          <w:rFonts w:hint="eastAsia" w:hAnsi="宋体"/>
          <w:b/>
          <w:sz w:val="32"/>
          <w:highlight w:val="none"/>
        </w:rPr>
        <w:t>年</w:t>
      </w:r>
      <w:r>
        <w:rPr>
          <w:rFonts w:hint="eastAsia" w:hAnsi="宋体"/>
          <w:b/>
          <w:sz w:val="32"/>
          <w:highlight w:val="none"/>
          <w:lang w:val="en-US" w:eastAsia="zh-CN"/>
        </w:rPr>
        <w:t>四</w:t>
      </w:r>
      <w:r>
        <w:rPr>
          <w:rFonts w:hint="eastAsia" w:hAnsi="宋体"/>
          <w:b/>
          <w:color w:val="auto"/>
          <w:sz w:val="32"/>
          <w:highlight w:val="none"/>
        </w:rPr>
        <w:t>月</w:t>
      </w:r>
    </w:p>
    <w:p>
      <w:pPr>
        <w:pStyle w:val="27"/>
        <w:adjustRightInd w:val="0"/>
        <w:snapToGrid w:val="0"/>
        <w:spacing w:line="360" w:lineRule="auto"/>
        <w:jc w:val="center"/>
        <w:rPr>
          <w:rFonts w:hAnsi="宋体"/>
          <w:b/>
          <w:color w:val="FF0000"/>
          <w:sz w:val="32"/>
        </w:rPr>
        <w:sectPr>
          <w:footerReference r:id="rId3" w:type="default"/>
          <w:pgSz w:w="11906" w:h="16838"/>
          <w:pgMar w:top="2098" w:right="1474" w:bottom="1984" w:left="1587" w:header="851" w:footer="992" w:gutter="0"/>
          <w:pgNumType w:start="1"/>
          <w:cols w:space="0" w:num="1"/>
          <w:docGrid w:type="lines" w:linePitch="319" w:charSpace="0"/>
        </w:sectPr>
      </w:pPr>
    </w:p>
    <w:p>
      <w:pPr>
        <w:jc w:val="center"/>
        <w:rPr>
          <w:rFonts w:ascii="宋体" w:hAnsi="宋体" w:cs="宋体"/>
          <w:b/>
          <w:bCs/>
          <w:sz w:val="32"/>
          <w:szCs w:val="32"/>
        </w:rPr>
      </w:pPr>
      <w:bookmarkStart w:id="0" w:name="_Toc14891064"/>
      <w:r>
        <w:rPr>
          <w:rFonts w:hint="eastAsia" w:ascii="宋体" w:hAnsi="宋体" w:cs="宋体"/>
          <w:b/>
          <w:bCs/>
          <w:sz w:val="32"/>
          <w:szCs w:val="32"/>
        </w:rPr>
        <w:t>目   录</w:t>
      </w:r>
    </w:p>
    <w:p>
      <w:pPr>
        <w:pStyle w:val="34"/>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TOC \o "1-2" \h \u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HYPERLINK \l _Toc8308 </w:instrText>
      </w:r>
      <w:r>
        <w:rPr>
          <w:rFonts w:hint="eastAsia" w:ascii="宋体" w:hAnsi="宋体" w:cs="宋体"/>
        </w:rPr>
        <w:fldChar w:fldCharType="separate"/>
      </w:r>
      <w:r>
        <w:rPr>
          <w:rFonts w:hint="eastAsia" w:ascii="宋体" w:hAnsi="宋体" w:eastAsia="宋体" w:cs="宋体"/>
          <w:bCs w:val="0"/>
          <w:szCs w:val="32"/>
          <w:lang w:eastAsia="zh-CN"/>
        </w:rPr>
        <w:t>第一章</w:t>
      </w:r>
      <w:r>
        <w:rPr>
          <w:rFonts w:hint="eastAsia" w:ascii="宋体" w:hAnsi="宋体" w:eastAsia="宋体" w:cs="宋体"/>
          <w:bCs w:val="0"/>
          <w:szCs w:val="32"/>
          <w:lang w:val="en-US" w:eastAsia="zh-CN"/>
        </w:rPr>
        <w:t xml:space="preserve"> </w:t>
      </w:r>
      <w:r>
        <w:rPr>
          <w:rFonts w:hint="eastAsia" w:ascii="宋体" w:hAnsi="宋体" w:eastAsia="宋体" w:cs="宋体"/>
          <w:bCs w:val="0"/>
          <w:szCs w:val="32"/>
        </w:rPr>
        <w:t xml:space="preserve"> 谈判邀请公告</w:t>
      </w:r>
      <w:r>
        <w:tab/>
      </w:r>
      <w:r>
        <w:fldChar w:fldCharType="begin"/>
      </w:r>
      <w:r>
        <w:instrText xml:space="preserve"> PAGEREF _Toc8308 \h </w:instrText>
      </w:r>
      <w:r>
        <w:fldChar w:fldCharType="separate"/>
      </w:r>
      <w:r>
        <w:t>1</w:t>
      </w:r>
      <w:r>
        <w:fldChar w:fldCharType="end"/>
      </w:r>
      <w:r>
        <w:rPr>
          <w:rFonts w:hint="eastAsia" w:ascii="宋体" w:hAnsi="宋体" w:cs="宋体"/>
        </w:rPr>
        <w:fldChar w:fldCharType="end"/>
      </w:r>
    </w:p>
    <w:p>
      <w:pPr>
        <w:pStyle w:val="34"/>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_Toc13238 </w:instrText>
      </w:r>
      <w:r>
        <w:rPr>
          <w:rFonts w:hint="eastAsia" w:ascii="宋体" w:hAnsi="宋体" w:cs="宋体"/>
        </w:rPr>
        <w:fldChar w:fldCharType="separate"/>
      </w:r>
      <w:r>
        <w:rPr>
          <w:rFonts w:hint="eastAsia" w:ascii="宋体" w:hAnsi="宋体" w:cs="宋体"/>
          <w:bCs w:val="0"/>
          <w:szCs w:val="32"/>
        </w:rPr>
        <w:t>第二章  谈判须知</w:t>
      </w:r>
      <w:r>
        <w:tab/>
      </w:r>
      <w:r>
        <w:fldChar w:fldCharType="begin"/>
      </w:r>
      <w:r>
        <w:instrText xml:space="preserve"> PAGEREF _Toc13238 \h </w:instrText>
      </w:r>
      <w:r>
        <w:fldChar w:fldCharType="separate"/>
      </w:r>
      <w:r>
        <w:t>6</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_Toc9168 </w:instrText>
      </w:r>
      <w:r>
        <w:rPr>
          <w:rFonts w:hint="eastAsia" w:ascii="宋体" w:hAnsi="宋体" w:cs="宋体"/>
        </w:rPr>
        <w:fldChar w:fldCharType="separate"/>
      </w:r>
      <w:r>
        <w:rPr>
          <w:rFonts w:hint="eastAsia" w:ascii="宋体" w:hAnsi="宋体" w:cs="宋体"/>
        </w:rPr>
        <w:t>谈判须知前附表</w:t>
      </w:r>
      <w:r>
        <w:tab/>
      </w:r>
      <w:r>
        <w:fldChar w:fldCharType="begin"/>
      </w:r>
      <w:r>
        <w:instrText xml:space="preserve"> PAGEREF _Toc9168 \h </w:instrText>
      </w:r>
      <w:r>
        <w:fldChar w:fldCharType="separate"/>
      </w:r>
      <w:r>
        <w:t>6</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_Toc17298 </w:instrText>
      </w:r>
      <w:r>
        <w:rPr>
          <w:rFonts w:hint="eastAsia" w:ascii="宋体" w:hAnsi="宋体" w:cs="宋体"/>
        </w:rPr>
        <w:fldChar w:fldCharType="separate"/>
      </w:r>
      <w:r>
        <w:rPr>
          <w:rFonts w:hint="eastAsia" w:ascii="宋体" w:hAnsi="宋体" w:cs="宋体"/>
        </w:rPr>
        <w:t>谈判须知正文</w:t>
      </w:r>
      <w:r>
        <w:tab/>
      </w:r>
      <w:r>
        <w:fldChar w:fldCharType="begin"/>
      </w:r>
      <w:r>
        <w:instrText xml:space="preserve"> PAGEREF _Toc17298 \h </w:instrText>
      </w:r>
      <w:r>
        <w:fldChar w:fldCharType="separate"/>
      </w:r>
      <w:r>
        <w:t>8</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_Toc2826 </w:instrText>
      </w:r>
      <w:r>
        <w:rPr>
          <w:rFonts w:hint="eastAsia" w:ascii="宋体" w:hAnsi="宋体" w:cs="宋体"/>
        </w:rPr>
        <w:fldChar w:fldCharType="separate"/>
      </w:r>
      <w:r>
        <w:rPr>
          <w:rFonts w:hint="eastAsia" w:ascii="宋体" w:hAnsi="宋体" w:cs="宋体"/>
          <w:szCs w:val="21"/>
        </w:rPr>
        <w:t>一、说明</w:t>
      </w:r>
      <w:r>
        <w:tab/>
      </w:r>
      <w:r>
        <w:fldChar w:fldCharType="begin"/>
      </w:r>
      <w:r>
        <w:instrText xml:space="preserve"> PAGEREF _Toc2826 \h </w:instrText>
      </w:r>
      <w:r>
        <w:fldChar w:fldCharType="separate"/>
      </w:r>
      <w:r>
        <w:t>8</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_Toc7066 </w:instrText>
      </w:r>
      <w:r>
        <w:rPr>
          <w:rFonts w:hint="eastAsia" w:ascii="宋体" w:hAnsi="宋体" w:cs="宋体"/>
        </w:rPr>
        <w:fldChar w:fldCharType="separate"/>
      </w:r>
      <w:r>
        <w:rPr>
          <w:rFonts w:hint="eastAsia" w:ascii="宋体" w:hAnsi="宋体" w:cs="宋体"/>
          <w:szCs w:val="21"/>
        </w:rPr>
        <w:t>二、谈判文件</w:t>
      </w:r>
      <w:r>
        <w:tab/>
      </w:r>
      <w:r>
        <w:fldChar w:fldCharType="begin"/>
      </w:r>
      <w:r>
        <w:instrText xml:space="preserve"> PAGEREF _Toc7066 \h </w:instrText>
      </w:r>
      <w:r>
        <w:fldChar w:fldCharType="separate"/>
      </w:r>
      <w:r>
        <w:t>9</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_Toc25456 </w:instrText>
      </w:r>
      <w:r>
        <w:rPr>
          <w:rFonts w:hint="eastAsia" w:ascii="宋体" w:hAnsi="宋体" w:cs="宋体"/>
        </w:rPr>
        <w:fldChar w:fldCharType="separate"/>
      </w:r>
      <w:r>
        <w:rPr>
          <w:rFonts w:hint="eastAsia" w:ascii="宋体" w:hAnsi="宋体" w:cs="宋体"/>
          <w:szCs w:val="21"/>
        </w:rPr>
        <w:t>三、响应文件</w:t>
      </w:r>
      <w:r>
        <w:tab/>
      </w:r>
      <w:r>
        <w:fldChar w:fldCharType="begin"/>
      </w:r>
      <w:r>
        <w:instrText xml:space="preserve"> PAGEREF _Toc25456 \h </w:instrText>
      </w:r>
      <w:r>
        <w:fldChar w:fldCharType="separate"/>
      </w:r>
      <w:r>
        <w:t>9</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_Toc21518 </w:instrText>
      </w:r>
      <w:r>
        <w:rPr>
          <w:rFonts w:hint="eastAsia" w:ascii="宋体" w:hAnsi="宋体" w:cs="宋体"/>
        </w:rPr>
        <w:fldChar w:fldCharType="separate"/>
      </w:r>
      <w:r>
        <w:rPr>
          <w:rFonts w:hint="eastAsia" w:ascii="宋体" w:hAnsi="宋体" w:cs="宋体"/>
          <w:szCs w:val="21"/>
        </w:rPr>
        <w:t>四、响应文件的递交</w:t>
      </w:r>
      <w:r>
        <w:tab/>
      </w:r>
      <w:r>
        <w:fldChar w:fldCharType="begin"/>
      </w:r>
      <w:r>
        <w:instrText xml:space="preserve"> PAGEREF _Toc21518 \h </w:instrText>
      </w:r>
      <w:r>
        <w:fldChar w:fldCharType="separate"/>
      </w:r>
      <w:r>
        <w:t>11</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_Toc19395 </w:instrText>
      </w:r>
      <w:r>
        <w:rPr>
          <w:rFonts w:hint="eastAsia" w:ascii="宋体" w:hAnsi="宋体" w:cs="宋体"/>
        </w:rPr>
        <w:fldChar w:fldCharType="separate"/>
      </w:r>
      <w:r>
        <w:rPr>
          <w:rFonts w:hint="eastAsia" w:ascii="宋体" w:hAnsi="宋体" w:cs="宋体"/>
          <w:szCs w:val="21"/>
        </w:rPr>
        <w:t>五、响应文件的评审</w:t>
      </w:r>
      <w:r>
        <w:tab/>
      </w:r>
      <w:r>
        <w:fldChar w:fldCharType="begin"/>
      </w:r>
      <w:r>
        <w:instrText xml:space="preserve"> PAGEREF _Toc19395 \h </w:instrText>
      </w:r>
      <w:r>
        <w:fldChar w:fldCharType="separate"/>
      </w:r>
      <w:r>
        <w:t>12</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_Toc25123 </w:instrText>
      </w:r>
      <w:r>
        <w:rPr>
          <w:rFonts w:hint="eastAsia" w:ascii="宋体" w:hAnsi="宋体" w:cs="宋体"/>
        </w:rPr>
        <w:fldChar w:fldCharType="separate"/>
      </w:r>
      <w:r>
        <w:rPr>
          <w:rFonts w:hint="eastAsia" w:ascii="宋体" w:hAnsi="宋体" w:cs="宋体"/>
          <w:szCs w:val="21"/>
        </w:rPr>
        <w:t>六、响应文件的澄清、说明及补正</w:t>
      </w:r>
      <w:r>
        <w:tab/>
      </w:r>
      <w:r>
        <w:fldChar w:fldCharType="begin"/>
      </w:r>
      <w:r>
        <w:instrText xml:space="preserve"> PAGEREF _Toc25123 \h </w:instrText>
      </w:r>
      <w:r>
        <w:fldChar w:fldCharType="separate"/>
      </w:r>
      <w:r>
        <w:t>12</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_Toc22523 </w:instrText>
      </w:r>
      <w:r>
        <w:rPr>
          <w:rFonts w:hint="eastAsia" w:ascii="宋体" w:hAnsi="宋体" w:cs="宋体"/>
        </w:rPr>
        <w:fldChar w:fldCharType="separate"/>
      </w:r>
      <w:r>
        <w:rPr>
          <w:rFonts w:hint="eastAsia" w:ascii="宋体" w:hAnsi="宋体" w:cs="宋体"/>
          <w:szCs w:val="21"/>
        </w:rPr>
        <w:t>七、中选结果与授予合同</w:t>
      </w:r>
      <w:r>
        <w:tab/>
      </w:r>
      <w:r>
        <w:fldChar w:fldCharType="begin"/>
      </w:r>
      <w:r>
        <w:instrText xml:space="preserve"> PAGEREF _Toc22523 \h </w:instrText>
      </w:r>
      <w:r>
        <w:fldChar w:fldCharType="separate"/>
      </w:r>
      <w:r>
        <w:t>12</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_Toc30525 </w:instrText>
      </w:r>
      <w:r>
        <w:rPr>
          <w:rFonts w:hint="eastAsia" w:ascii="宋体" w:hAnsi="宋体" w:cs="宋体"/>
        </w:rPr>
        <w:fldChar w:fldCharType="separate"/>
      </w:r>
      <w:r>
        <w:rPr>
          <w:rFonts w:hint="eastAsia" w:ascii="宋体" w:hAnsi="宋体" w:cs="宋体"/>
          <w:szCs w:val="21"/>
        </w:rPr>
        <w:t>八、其他</w:t>
      </w:r>
      <w:r>
        <w:tab/>
      </w:r>
      <w:r>
        <w:fldChar w:fldCharType="begin"/>
      </w:r>
      <w:r>
        <w:instrText xml:space="preserve"> PAGEREF _Toc30525 \h </w:instrText>
      </w:r>
      <w:r>
        <w:fldChar w:fldCharType="separate"/>
      </w:r>
      <w:r>
        <w:t>13</w:t>
      </w:r>
      <w:r>
        <w:fldChar w:fldCharType="end"/>
      </w:r>
      <w:r>
        <w:rPr>
          <w:rFonts w:hint="eastAsia" w:ascii="宋体" w:hAnsi="宋体" w:cs="宋体"/>
        </w:rPr>
        <w:fldChar w:fldCharType="end"/>
      </w:r>
    </w:p>
    <w:p>
      <w:pPr>
        <w:pStyle w:val="34"/>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_Toc21513 </w:instrText>
      </w:r>
      <w:r>
        <w:rPr>
          <w:rFonts w:hint="eastAsia" w:ascii="宋体" w:hAnsi="宋体" w:cs="宋体"/>
        </w:rPr>
        <w:fldChar w:fldCharType="separate"/>
      </w:r>
      <w:r>
        <w:rPr>
          <w:rFonts w:hint="eastAsia" w:ascii="宋体" w:hAnsi="宋体" w:cs="宋体"/>
          <w:bCs w:val="0"/>
          <w:szCs w:val="32"/>
        </w:rPr>
        <w:t>第三章  评审办法及标准</w:t>
      </w:r>
      <w:r>
        <w:tab/>
      </w:r>
      <w:r>
        <w:fldChar w:fldCharType="begin"/>
      </w:r>
      <w:r>
        <w:instrText xml:space="preserve"> PAGEREF _Toc21513 \h </w:instrText>
      </w:r>
      <w:r>
        <w:fldChar w:fldCharType="separate"/>
      </w:r>
      <w:r>
        <w:t>15</w:t>
      </w:r>
      <w:r>
        <w:fldChar w:fldCharType="end"/>
      </w:r>
      <w:r>
        <w:rPr>
          <w:rFonts w:hint="eastAsia" w:ascii="宋体" w:hAnsi="宋体" w:cs="宋体"/>
        </w:rPr>
        <w:fldChar w:fldCharType="end"/>
      </w:r>
    </w:p>
    <w:p>
      <w:pPr>
        <w:pStyle w:val="34"/>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_Toc5922 </w:instrText>
      </w:r>
      <w:r>
        <w:rPr>
          <w:rFonts w:hint="eastAsia" w:ascii="宋体" w:hAnsi="宋体" w:cs="宋体"/>
        </w:rPr>
        <w:fldChar w:fldCharType="separate"/>
      </w:r>
      <w:r>
        <w:rPr>
          <w:rFonts w:hint="eastAsia" w:ascii="宋体" w:hAnsi="宋体" w:cs="宋体"/>
          <w:bCs w:val="0"/>
          <w:szCs w:val="32"/>
        </w:rPr>
        <w:t>第四章  用户需求书（另册）</w:t>
      </w:r>
      <w:r>
        <w:tab/>
      </w:r>
      <w:r>
        <w:fldChar w:fldCharType="begin"/>
      </w:r>
      <w:r>
        <w:instrText xml:space="preserve"> PAGEREF _Toc5922 \h </w:instrText>
      </w:r>
      <w:r>
        <w:fldChar w:fldCharType="separate"/>
      </w:r>
      <w:r>
        <w:t>17</w:t>
      </w:r>
      <w:r>
        <w:fldChar w:fldCharType="end"/>
      </w:r>
      <w:r>
        <w:rPr>
          <w:rFonts w:hint="eastAsia" w:ascii="宋体" w:hAnsi="宋体" w:cs="宋体"/>
        </w:rPr>
        <w:fldChar w:fldCharType="end"/>
      </w:r>
    </w:p>
    <w:p>
      <w:pPr>
        <w:pStyle w:val="34"/>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_Toc26058 </w:instrText>
      </w:r>
      <w:r>
        <w:rPr>
          <w:rFonts w:hint="eastAsia" w:ascii="宋体" w:hAnsi="宋体" w:cs="宋体"/>
        </w:rPr>
        <w:fldChar w:fldCharType="separate"/>
      </w:r>
      <w:r>
        <w:rPr>
          <w:rFonts w:hint="eastAsia" w:ascii="宋体" w:hAnsi="宋体" w:eastAsia="宋体" w:cs="宋体"/>
          <w:bCs w:val="0"/>
          <w:szCs w:val="32"/>
          <w:lang w:eastAsia="zh-CN"/>
        </w:rPr>
        <w:t>第五章</w:t>
      </w:r>
      <w:r>
        <w:rPr>
          <w:rFonts w:hint="eastAsia" w:ascii="宋体" w:hAnsi="宋体" w:eastAsia="宋体" w:cs="宋体"/>
          <w:bCs w:val="0"/>
          <w:szCs w:val="32"/>
          <w:lang w:val="en-US" w:eastAsia="zh-CN"/>
        </w:rPr>
        <w:t xml:space="preserve"> </w:t>
      </w:r>
      <w:r>
        <w:rPr>
          <w:rFonts w:hint="eastAsia" w:ascii="宋体" w:hAnsi="宋体" w:eastAsia="宋体" w:cs="宋体"/>
          <w:bCs w:val="0"/>
          <w:szCs w:val="32"/>
        </w:rPr>
        <w:t xml:space="preserve"> 谈判最高限价</w:t>
      </w:r>
      <w:r>
        <w:tab/>
      </w:r>
      <w:r>
        <w:fldChar w:fldCharType="begin"/>
      </w:r>
      <w:r>
        <w:instrText xml:space="preserve"> PAGEREF _Toc26058 \h </w:instrText>
      </w:r>
      <w:r>
        <w:fldChar w:fldCharType="separate"/>
      </w:r>
      <w:r>
        <w:t>18</w:t>
      </w:r>
      <w:r>
        <w:fldChar w:fldCharType="end"/>
      </w:r>
      <w:r>
        <w:rPr>
          <w:rFonts w:hint="eastAsia" w:ascii="宋体" w:hAnsi="宋体" w:cs="宋体"/>
        </w:rPr>
        <w:fldChar w:fldCharType="end"/>
      </w:r>
    </w:p>
    <w:p>
      <w:pPr>
        <w:pStyle w:val="34"/>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_Toc1188 </w:instrText>
      </w:r>
      <w:r>
        <w:rPr>
          <w:rFonts w:hint="eastAsia" w:ascii="宋体" w:hAnsi="宋体" w:cs="宋体"/>
        </w:rPr>
        <w:fldChar w:fldCharType="separate"/>
      </w:r>
      <w:r>
        <w:rPr>
          <w:rFonts w:hint="eastAsia" w:ascii="宋体" w:hAnsi="宋体" w:cs="宋体"/>
          <w:bCs w:val="0"/>
          <w:szCs w:val="32"/>
        </w:rPr>
        <w:t>第六章  合同格式条款</w:t>
      </w:r>
      <w:r>
        <w:tab/>
      </w:r>
      <w:r>
        <w:fldChar w:fldCharType="begin"/>
      </w:r>
      <w:r>
        <w:instrText xml:space="preserve"> PAGEREF _Toc1188 \h </w:instrText>
      </w:r>
      <w:r>
        <w:fldChar w:fldCharType="separate"/>
      </w:r>
      <w:r>
        <w:t>19</w:t>
      </w:r>
      <w:r>
        <w:fldChar w:fldCharType="end"/>
      </w:r>
      <w:r>
        <w:rPr>
          <w:rFonts w:hint="eastAsia" w:ascii="宋体" w:hAnsi="宋体" w:cs="宋体"/>
        </w:rPr>
        <w:fldChar w:fldCharType="end"/>
      </w:r>
    </w:p>
    <w:p>
      <w:pPr>
        <w:pStyle w:val="34"/>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_Toc20370 </w:instrText>
      </w:r>
      <w:r>
        <w:rPr>
          <w:rFonts w:hint="eastAsia" w:ascii="宋体" w:hAnsi="宋体" w:cs="宋体"/>
        </w:rPr>
        <w:fldChar w:fldCharType="separate"/>
      </w:r>
      <w:r>
        <w:rPr>
          <w:rFonts w:hint="eastAsia" w:ascii="宋体" w:hAnsi="宋体" w:cs="宋体"/>
          <w:szCs w:val="32"/>
        </w:rPr>
        <w:t xml:space="preserve">第七章  </w:t>
      </w:r>
      <w:r>
        <w:rPr>
          <w:rFonts w:hint="eastAsia" w:ascii="宋体" w:hAnsi="宋体" w:cs="宋体"/>
          <w:bCs/>
          <w:szCs w:val="32"/>
        </w:rPr>
        <w:t>响应文件组成</w:t>
      </w:r>
      <w:r>
        <w:tab/>
      </w:r>
      <w:r>
        <w:fldChar w:fldCharType="begin"/>
      </w:r>
      <w:r>
        <w:instrText xml:space="preserve"> PAGEREF _Toc20370 \h </w:instrText>
      </w:r>
      <w:r>
        <w:fldChar w:fldCharType="separate"/>
      </w:r>
      <w:r>
        <w:t>46</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_Toc24708 </w:instrText>
      </w:r>
      <w:r>
        <w:rPr>
          <w:rFonts w:hint="eastAsia" w:ascii="宋体" w:hAnsi="宋体" w:cs="宋体"/>
        </w:rPr>
        <w:fldChar w:fldCharType="separate"/>
      </w:r>
      <w:r>
        <w:rPr>
          <w:rFonts w:hint="eastAsia" w:ascii="宋体" w:hAnsi="宋体" w:cs="宋体"/>
          <w:szCs w:val="32"/>
        </w:rPr>
        <w:t>一、谈判承诺书</w:t>
      </w:r>
      <w:r>
        <w:tab/>
      </w:r>
      <w:r>
        <w:fldChar w:fldCharType="begin"/>
      </w:r>
      <w:r>
        <w:instrText xml:space="preserve"> PAGEREF _Toc24708 \h </w:instrText>
      </w:r>
      <w:r>
        <w:fldChar w:fldCharType="separate"/>
      </w:r>
      <w:r>
        <w:t>48</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_Toc24556 </w:instrText>
      </w:r>
      <w:r>
        <w:rPr>
          <w:rFonts w:hint="eastAsia" w:ascii="宋体" w:hAnsi="宋体" w:cs="宋体"/>
        </w:rPr>
        <w:fldChar w:fldCharType="separate"/>
      </w:r>
      <w:r>
        <w:rPr>
          <w:rFonts w:hint="eastAsia" w:ascii="宋体" w:hAnsi="宋体" w:cs="宋体"/>
          <w:szCs w:val="32"/>
        </w:rPr>
        <w:t>二、法定代表人身份证明书</w:t>
      </w:r>
      <w:r>
        <w:tab/>
      </w:r>
      <w:r>
        <w:fldChar w:fldCharType="begin"/>
      </w:r>
      <w:r>
        <w:instrText xml:space="preserve"> PAGEREF _Toc24556 \h </w:instrText>
      </w:r>
      <w:r>
        <w:fldChar w:fldCharType="separate"/>
      </w:r>
      <w:r>
        <w:t>50</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_Toc29865 </w:instrText>
      </w:r>
      <w:r>
        <w:rPr>
          <w:rFonts w:hint="eastAsia" w:ascii="宋体" w:hAnsi="宋体" w:cs="宋体"/>
        </w:rPr>
        <w:fldChar w:fldCharType="separate"/>
      </w:r>
      <w:r>
        <w:rPr>
          <w:rFonts w:hint="eastAsia" w:ascii="宋体" w:hAnsi="宋体" w:cs="宋体"/>
          <w:szCs w:val="32"/>
        </w:rPr>
        <w:t>三、授权委托书</w:t>
      </w:r>
      <w:r>
        <w:tab/>
      </w:r>
      <w:r>
        <w:fldChar w:fldCharType="begin"/>
      </w:r>
      <w:r>
        <w:instrText xml:space="preserve"> PAGEREF _Toc29865 \h </w:instrText>
      </w:r>
      <w:r>
        <w:fldChar w:fldCharType="separate"/>
      </w:r>
      <w:r>
        <w:t>51</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_Toc16519 </w:instrText>
      </w:r>
      <w:r>
        <w:rPr>
          <w:rFonts w:hint="eastAsia" w:ascii="宋体" w:hAnsi="宋体" w:cs="宋体"/>
        </w:rPr>
        <w:fldChar w:fldCharType="separate"/>
      </w:r>
      <w:r>
        <w:rPr>
          <w:rFonts w:hint="eastAsia" w:ascii="宋体" w:hAnsi="宋体" w:cs="宋体"/>
          <w:szCs w:val="32"/>
        </w:rPr>
        <w:t>四、谈判单位资格证明文件</w:t>
      </w:r>
      <w:r>
        <w:tab/>
      </w:r>
      <w:r>
        <w:fldChar w:fldCharType="begin"/>
      </w:r>
      <w:r>
        <w:instrText xml:space="preserve"> PAGEREF _Toc16519 \h </w:instrText>
      </w:r>
      <w:r>
        <w:fldChar w:fldCharType="separate"/>
      </w:r>
      <w:r>
        <w:t>52</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_Toc13791 </w:instrText>
      </w:r>
      <w:r>
        <w:rPr>
          <w:rFonts w:hint="eastAsia" w:ascii="宋体" w:hAnsi="宋体" w:cs="宋体"/>
        </w:rPr>
        <w:fldChar w:fldCharType="separate"/>
      </w:r>
      <w:r>
        <w:rPr>
          <w:rFonts w:hint="eastAsia" w:ascii="宋体" w:hAnsi="宋体" w:cs="宋体"/>
          <w:szCs w:val="32"/>
        </w:rPr>
        <w:t>五、服务方案</w:t>
      </w:r>
      <w:r>
        <w:tab/>
      </w:r>
      <w:r>
        <w:fldChar w:fldCharType="begin"/>
      </w:r>
      <w:r>
        <w:instrText xml:space="preserve"> PAGEREF _Toc13791 \h </w:instrText>
      </w:r>
      <w:r>
        <w:fldChar w:fldCharType="separate"/>
      </w:r>
      <w:r>
        <w:t>54</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_Toc9579 </w:instrText>
      </w:r>
      <w:r>
        <w:rPr>
          <w:rFonts w:hint="eastAsia" w:ascii="宋体" w:hAnsi="宋体" w:cs="宋体"/>
        </w:rPr>
        <w:fldChar w:fldCharType="separate"/>
      </w:r>
      <w:r>
        <w:rPr>
          <w:rFonts w:hint="eastAsia" w:ascii="宋体" w:hAnsi="宋体" w:cs="宋体"/>
          <w:szCs w:val="32"/>
          <w:lang w:eastAsia="zh-CN"/>
        </w:rPr>
        <w:t>六、</w:t>
      </w:r>
      <w:r>
        <w:rPr>
          <w:rFonts w:hint="eastAsia" w:ascii="宋体" w:hAnsi="宋体" w:cs="宋体"/>
          <w:szCs w:val="32"/>
        </w:rPr>
        <w:t>报价一览表</w:t>
      </w:r>
      <w:r>
        <w:tab/>
      </w:r>
      <w:r>
        <w:fldChar w:fldCharType="begin"/>
      </w:r>
      <w:r>
        <w:instrText xml:space="preserve"> PAGEREF _Toc9579 \h </w:instrText>
      </w:r>
      <w:r>
        <w:fldChar w:fldCharType="separate"/>
      </w:r>
      <w:r>
        <w:t>55</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_Toc6330 </w:instrText>
      </w:r>
      <w:r>
        <w:rPr>
          <w:rFonts w:hint="eastAsia" w:ascii="宋体" w:hAnsi="宋体" w:cs="宋体"/>
        </w:rPr>
        <w:fldChar w:fldCharType="separate"/>
      </w:r>
      <w:r>
        <w:rPr>
          <w:rFonts w:hint="eastAsia" w:ascii="宋体" w:hAnsi="宋体" w:cs="宋体"/>
          <w:szCs w:val="32"/>
          <w:highlight w:val="none"/>
          <w:lang w:val="en-US" w:eastAsia="zh-CN"/>
        </w:rPr>
        <w:t>七、</w:t>
      </w:r>
      <w:r>
        <w:rPr>
          <w:rFonts w:hint="eastAsia" w:ascii="宋体" w:hAnsi="宋体" w:eastAsia="宋体" w:cs="宋体"/>
          <w:szCs w:val="32"/>
          <w:highlight w:val="none"/>
        </w:rPr>
        <w:t>分项价格表</w:t>
      </w:r>
      <w:r>
        <w:tab/>
      </w:r>
      <w:r>
        <w:fldChar w:fldCharType="begin"/>
      </w:r>
      <w:r>
        <w:instrText xml:space="preserve"> PAGEREF _Toc6330 \h </w:instrText>
      </w:r>
      <w:r>
        <w:fldChar w:fldCharType="separate"/>
      </w:r>
      <w:r>
        <w:t>56</w:t>
      </w:r>
      <w:r>
        <w:fldChar w:fldCharType="end"/>
      </w:r>
      <w:r>
        <w:rPr>
          <w:rFonts w:hint="eastAsia" w:ascii="宋体" w:hAnsi="宋体" w:cs="宋体"/>
        </w:rPr>
        <w:fldChar w:fldCharType="end"/>
      </w:r>
    </w:p>
    <w:p>
      <w:pPr>
        <w:pStyle w:val="39"/>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cs="宋体"/>
        </w:rPr>
        <w:fldChar w:fldCharType="begin"/>
      </w:r>
      <w:r>
        <w:rPr>
          <w:rFonts w:hint="eastAsia" w:ascii="宋体" w:hAnsi="宋体" w:cs="宋体"/>
        </w:rPr>
        <w:instrText xml:space="preserve"> HYPERLINK \l _Toc9958 </w:instrText>
      </w:r>
      <w:r>
        <w:rPr>
          <w:rFonts w:hint="eastAsia" w:ascii="宋体" w:hAnsi="宋体" w:cs="宋体"/>
        </w:rPr>
        <w:fldChar w:fldCharType="separate"/>
      </w:r>
      <w:r>
        <w:rPr>
          <w:rFonts w:hint="eastAsia" w:ascii="宋体" w:hAnsi="宋体" w:cs="宋体"/>
          <w:szCs w:val="32"/>
          <w:lang w:val="en-US" w:eastAsia="zh-CN"/>
        </w:rPr>
        <w:t>八</w:t>
      </w:r>
      <w:r>
        <w:rPr>
          <w:rFonts w:hint="eastAsia" w:ascii="宋体" w:hAnsi="宋体" w:cs="宋体"/>
          <w:szCs w:val="32"/>
        </w:rPr>
        <w:t>、其他资料（如有）</w:t>
      </w:r>
      <w:r>
        <w:tab/>
      </w:r>
      <w:r>
        <w:fldChar w:fldCharType="begin"/>
      </w:r>
      <w:r>
        <w:instrText xml:space="preserve"> PAGEREF _Toc9958 \h </w:instrText>
      </w:r>
      <w:r>
        <w:fldChar w:fldCharType="separate"/>
      </w:r>
      <w:r>
        <w:t>57</w:t>
      </w:r>
      <w:r>
        <w:fldChar w:fldCharType="end"/>
      </w:r>
      <w:r>
        <w:rPr>
          <w:rFonts w:hint="eastAsia" w:ascii="宋体" w:hAnsi="宋体" w:cs="宋体"/>
        </w:rPr>
        <w:fldChar w:fldCharType="end"/>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b/>
          <w:bCs/>
          <w:szCs w:val="21"/>
          <w:highlight w:val="cyan"/>
        </w:rPr>
        <w:sectPr>
          <w:footerReference r:id="rId4" w:type="default"/>
          <w:pgSz w:w="11906" w:h="16838"/>
          <w:pgMar w:top="2098" w:right="1474" w:bottom="1984" w:left="1587" w:header="851" w:footer="992" w:gutter="0"/>
          <w:cols w:space="0" w:num="1"/>
          <w:docGrid w:type="lines" w:linePitch="319" w:charSpace="0"/>
        </w:sectPr>
      </w:pPr>
      <w:r>
        <w:rPr>
          <w:rFonts w:hint="eastAsia" w:ascii="宋体" w:hAnsi="宋体" w:cs="宋体"/>
        </w:rPr>
        <w:fldChar w:fldCharType="end"/>
      </w:r>
      <w:bookmarkStart w:id="1" w:name="_Toc5016"/>
      <w:bookmarkStart w:id="2" w:name="_Toc29614"/>
    </w:p>
    <w:p>
      <w:pPr>
        <w:pStyle w:val="6"/>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Cs w:val="0"/>
          <w:sz w:val="32"/>
          <w:szCs w:val="32"/>
        </w:rPr>
      </w:pPr>
      <w:bookmarkStart w:id="3" w:name="_Toc8308"/>
      <w:bookmarkStart w:id="4" w:name="_Toc13376"/>
      <w:bookmarkStart w:id="5" w:name="_Toc3621"/>
      <w:r>
        <w:rPr>
          <w:rFonts w:hint="eastAsia" w:ascii="宋体" w:hAnsi="宋体" w:eastAsia="宋体" w:cs="宋体"/>
          <w:bCs w:val="0"/>
          <w:sz w:val="32"/>
          <w:szCs w:val="32"/>
          <w:lang w:eastAsia="zh-CN"/>
        </w:rPr>
        <w:t>第一章</w:t>
      </w:r>
      <w:r>
        <w:rPr>
          <w:rFonts w:hint="eastAsia" w:ascii="宋体" w:hAnsi="宋体" w:eastAsia="宋体" w:cs="宋体"/>
          <w:bCs w:val="0"/>
          <w:sz w:val="32"/>
          <w:szCs w:val="32"/>
          <w:lang w:val="en-US" w:eastAsia="zh-CN"/>
        </w:rPr>
        <w:t xml:space="preserve"> </w:t>
      </w:r>
      <w:r>
        <w:rPr>
          <w:rFonts w:hint="eastAsia" w:ascii="宋体" w:hAnsi="宋体" w:eastAsia="宋体" w:cs="宋体"/>
          <w:bCs w:val="0"/>
          <w:sz w:val="32"/>
          <w:szCs w:val="32"/>
        </w:rPr>
        <w:t xml:space="preserve"> 谈判邀请公告</w:t>
      </w:r>
      <w:bookmarkEnd w:id="0"/>
      <w:bookmarkEnd w:id="1"/>
      <w:bookmarkEnd w:id="2"/>
      <w:bookmarkEnd w:id="3"/>
      <w:bookmarkEnd w:id="4"/>
      <w:bookmarkEnd w:id="5"/>
    </w:p>
    <w:p>
      <w:pPr>
        <w:keepNext w:val="0"/>
        <w:keepLines w:val="0"/>
        <w:pageBreakBefore w:val="0"/>
        <w:kinsoku/>
        <w:wordWrap/>
        <w:overflowPunct/>
        <w:topLinePunct w:val="0"/>
        <w:autoSpaceDE/>
        <w:autoSpaceDN/>
        <w:bidi w:val="0"/>
        <w:spacing w:line="360" w:lineRule="auto"/>
        <w:ind w:left="0" w:leftChars="0"/>
        <w:textAlignment w:val="auto"/>
      </w:pP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ascii="宋体" w:hAnsi="宋体" w:cs="宋体"/>
          <w:iCs/>
          <w:szCs w:val="21"/>
        </w:rPr>
      </w:pPr>
      <w:r>
        <w:rPr>
          <w:rFonts w:hint="eastAsia" w:ascii="宋体" w:hAnsi="宋体" w:eastAsia="宋体" w:cs="宋体"/>
          <w:kern w:val="2"/>
          <w:sz w:val="21"/>
          <w:szCs w:val="24"/>
          <w:u w:val="single"/>
          <w:lang w:val="en-US" w:eastAsia="zh-CN" w:bidi="ar-SA"/>
        </w:rPr>
        <w:t>长沙市轨道交通运营有限公司、长沙市轨道交通四号线建设发展有限公司</w:t>
      </w:r>
      <w:r>
        <w:rPr>
          <w:rStyle w:val="56"/>
          <w:rFonts w:hint="eastAsia"/>
          <w:color w:val="auto"/>
          <w:kern w:val="0"/>
          <w:u w:val="none"/>
          <w:shd w:val="clear" w:color="auto" w:fill="FFFFFF"/>
        </w:rPr>
        <w:t>对</w:t>
      </w:r>
      <w:r>
        <w:rPr>
          <w:rFonts w:hint="eastAsia" w:ascii="宋体" w:hAnsi="宋体" w:cs="宋体"/>
          <w:u w:val="single"/>
          <w:lang w:val="en-US" w:eastAsia="zh-CN"/>
        </w:rPr>
        <w:t>长沙市轨道交通2号线电客车首轮大修、4号线电客车首轮架修概算编制咨询服务项目</w:t>
      </w:r>
      <w:r>
        <w:rPr>
          <w:rFonts w:hint="eastAsia" w:hAnsi="宋体" w:cs="宋体"/>
          <w:u w:val="single"/>
          <w:lang w:val="en-US" w:eastAsia="zh-CN"/>
        </w:rPr>
        <w:t>（第二次）</w:t>
      </w:r>
      <w:r>
        <w:rPr>
          <w:rStyle w:val="56"/>
          <w:rFonts w:hint="eastAsia"/>
          <w:color w:val="auto"/>
          <w:kern w:val="0"/>
          <w:u w:val="none"/>
          <w:shd w:val="clear" w:color="auto" w:fill="FFFFFF"/>
        </w:rPr>
        <w:t>进行自主竞争性谈判采购，现发布公告，邀请符合条件的单位参与谈判采购活动，本项目为不含税报价。</w:t>
      </w:r>
    </w:p>
    <w:p>
      <w:pPr>
        <w:pStyle w:val="43"/>
        <w:keepNext w:val="0"/>
        <w:keepLines w:val="0"/>
        <w:pageBreakBefore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firstLineChars="200"/>
        <w:jc w:val="both"/>
        <w:textAlignment w:val="auto"/>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项目概况</w:t>
      </w:r>
    </w:p>
    <w:p>
      <w:pPr>
        <w:keepNext w:val="0"/>
        <w:keepLines w:val="0"/>
        <w:pageBreakBefore w:val="0"/>
        <w:numPr>
          <w:ilvl w:val="0"/>
          <w:numId w:val="7"/>
        </w:numPr>
        <w:kinsoku/>
        <w:wordWrap/>
        <w:overflowPunct/>
        <w:topLinePunct w:val="0"/>
        <w:autoSpaceDE/>
        <w:autoSpaceDN/>
        <w:bidi w:val="0"/>
        <w:spacing w:line="360" w:lineRule="auto"/>
        <w:ind w:left="0" w:leftChars="0" w:firstLine="420" w:firstLineChars="200"/>
        <w:textAlignment w:val="auto"/>
        <w:rPr>
          <w:rStyle w:val="56"/>
          <w:color w:val="auto"/>
          <w:kern w:val="0"/>
          <w:u w:val="none"/>
          <w:shd w:val="clear" w:color="auto" w:fill="FFFFFF"/>
        </w:rPr>
      </w:pPr>
      <w:r>
        <w:rPr>
          <w:rStyle w:val="56"/>
          <w:rFonts w:hint="eastAsia"/>
          <w:color w:val="auto"/>
          <w:kern w:val="0"/>
          <w:u w:val="none"/>
          <w:shd w:val="clear" w:color="auto" w:fill="FFFFFF"/>
        </w:rPr>
        <w:t>项目名称：</w:t>
      </w:r>
      <w:r>
        <w:rPr>
          <w:rFonts w:hint="eastAsia" w:ascii="宋体" w:hAnsi="宋体" w:cs="宋体"/>
          <w:lang w:val="en-US" w:eastAsia="zh-CN"/>
        </w:rPr>
        <w:t>长沙市轨道交通2号线电客车首轮大修、4号线电客车首轮架修概算编制咨询服务项目（第二次）</w:t>
      </w:r>
    </w:p>
    <w:p>
      <w:pPr>
        <w:keepNext w:val="0"/>
        <w:keepLines w:val="0"/>
        <w:pageBreakBefore w:val="0"/>
        <w:numPr>
          <w:ilvl w:val="0"/>
          <w:numId w:val="7"/>
        </w:numPr>
        <w:kinsoku/>
        <w:wordWrap/>
        <w:overflowPunct/>
        <w:topLinePunct w:val="0"/>
        <w:autoSpaceDE/>
        <w:autoSpaceDN/>
        <w:bidi w:val="0"/>
        <w:spacing w:line="360" w:lineRule="auto"/>
        <w:ind w:left="0" w:leftChars="0" w:firstLine="420" w:firstLineChars="200"/>
        <w:textAlignment w:val="auto"/>
        <w:rPr>
          <w:rStyle w:val="56"/>
          <w:color w:val="auto"/>
          <w:kern w:val="0"/>
          <w:u w:val="none"/>
          <w:shd w:val="clear" w:color="auto" w:fill="FFFFFF"/>
        </w:rPr>
      </w:pPr>
      <w:r>
        <w:rPr>
          <w:rStyle w:val="56"/>
          <w:rFonts w:hint="eastAsia"/>
          <w:color w:val="auto"/>
          <w:kern w:val="0"/>
          <w:u w:val="none"/>
          <w:shd w:val="clear" w:color="auto" w:fill="FFFFFF"/>
        </w:rPr>
        <w:t>项目编号：长轨运服采【202</w:t>
      </w:r>
      <w:r>
        <w:rPr>
          <w:rStyle w:val="56"/>
          <w:rFonts w:hint="eastAsia"/>
          <w:color w:val="auto"/>
          <w:kern w:val="0"/>
          <w:u w:val="none"/>
          <w:shd w:val="clear" w:color="auto" w:fill="FFFFFF"/>
          <w:lang w:val="en-US" w:eastAsia="zh-CN"/>
        </w:rPr>
        <w:t>3</w:t>
      </w:r>
      <w:r>
        <w:rPr>
          <w:rStyle w:val="56"/>
          <w:rFonts w:hint="eastAsia"/>
          <w:color w:val="auto"/>
          <w:kern w:val="0"/>
          <w:u w:val="none"/>
          <w:shd w:val="clear" w:color="auto" w:fill="FFFFFF"/>
        </w:rPr>
        <w:t>】</w:t>
      </w:r>
      <w:r>
        <w:rPr>
          <w:rStyle w:val="56"/>
          <w:rFonts w:hint="eastAsia"/>
          <w:color w:val="auto"/>
          <w:kern w:val="0"/>
          <w:u w:val="none"/>
          <w:shd w:val="clear" w:color="auto" w:fill="FFFFFF"/>
          <w:lang w:val="en-US" w:eastAsia="zh-CN"/>
        </w:rPr>
        <w:t>001</w:t>
      </w:r>
      <w:r>
        <w:rPr>
          <w:rStyle w:val="56"/>
          <w:rFonts w:hint="eastAsia"/>
          <w:color w:val="auto"/>
          <w:kern w:val="0"/>
          <w:u w:val="none"/>
          <w:shd w:val="clear" w:color="auto" w:fill="FFFFFF"/>
        </w:rPr>
        <w:t>号</w:t>
      </w:r>
    </w:p>
    <w:p>
      <w:pPr>
        <w:keepNext w:val="0"/>
        <w:keepLines w:val="0"/>
        <w:pageBreakBefore w:val="0"/>
        <w:numPr>
          <w:ilvl w:val="0"/>
          <w:numId w:val="7"/>
        </w:numPr>
        <w:kinsoku/>
        <w:wordWrap/>
        <w:overflowPunct/>
        <w:topLinePunct w:val="0"/>
        <w:autoSpaceDE/>
        <w:autoSpaceDN/>
        <w:bidi w:val="0"/>
        <w:spacing w:line="360" w:lineRule="auto"/>
        <w:ind w:left="0" w:leftChars="0" w:firstLine="420" w:firstLineChars="200"/>
        <w:textAlignment w:val="auto"/>
        <w:rPr>
          <w:rFonts w:ascii="宋体" w:hAnsi="宋体" w:cs="宋体"/>
        </w:rPr>
      </w:pPr>
      <w:r>
        <w:rPr>
          <w:rFonts w:hint="eastAsia" w:ascii="宋体" w:hAnsi="宋体" w:cs="宋体"/>
        </w:rPr>
        <w:t>最高限</w:t>
      </w:r>
      <w:r>
        <w:rPr>
          <w:rFonts w:hint="eastAsia" w:ascii="宋体" w:hAnsi="宋体" w:cs="宋体"/>
          <w:color w:val="auto"/>
        </w:rPr>
        <w:t>价：</w:t>
      </w:r>
      <w:r>
        <w:rPr>
          <w:rStyle w:val="56"/>
          <w:rFonts w:hint="eastAsia"/>
          <w:color w:val="auto"/>
          <w:kern w:val="0"/>
          <w:u w:val="none"/>
          <w:shd w:val="clear" w:color="auto" w:fill="FFFFFF"/>
          <w:lang w:val="en-US" w:eastAsia="zh-CN"/>
        </w:rPr>
        <w:t>208573.44</w:t>
      </w:r>
      <w:r>
        <w:rPr>
          <w:rFonts w:hint="eastAsia" w:ascii="宋体" w:hAnsi="宋体" w:cs="宋体"/>
          <w:color w:val="auto"/>
        </w:rPr>
        <w:t>元</w:t>
      </w:r>
    </w:p>
    <w:p>
      <w:pPr>
        <w:keepNext w:val="0"/>
        <w:keepLines w:val="0"/>
        <w:pageBreakBefore w:val="0"/>
        <w:numPr>
          <w:ilvl w:val="0"/>
          <w:numId w:val="7"/>
        </w:numPr>
        <w:kinsoku/>
        <w:wordWrap/>
        <w:overflowPunct/>
        <w:topLinePunct w:val="0"/>
        <w:autoSpaceDE/>
        <w:autoSpaceDN/>
        <w:bidi w:val="0"/>
        <w:spacing w:line="360" w:lineRule="auto"/>
        <w:ind w:left="0" w:leftChars="0" w:firstLine="420" w:firstLineChars="200"/>
        <w:textAlignment w:val="auto"/>
        <w:rPr>
          <w:rStyle w:val="56"/>
          <w:color w:val="auto"/>
          <w:kern w:val="0"/>
          <w:u w:val="none"/>
          <w:shd w:val="clear" w:color="auto" w:fill="FFFFFF"/>
        </w:rPr>
      </w:pPr>
      <w:r>
        <w:rPr>
          <w:rStyle w:val="56"/>
          <w:rFonts w:hint="eastAsia"/>
          <w:color w:val="auto"/>
          <w:kern w:val="0"/>
          <w:u w:val="none"/>
          <w:shd w:val="clear" w:color="auto" w:fill="FFFFFF"/>
        </w:rPr>
        <w:t>标段划分：共划分 1 个标段</w:t>
      </w:r>
    </w:p>
    <w:p>
      <w:pPr>
        <w:keepNext w:val="0"/>
        <w:keepLines w:val="0"/>
        <w:pageBreakBefore w:val="0"/>
        <w:numPr>
          <w:ilvl w:val="0"/>
          <w:numId w:val="7"/>
        </w:numPr>
        <w:kinsoku/>
        <w:wordWrap/>
        <w:overflowPunct/>
        <w:topLinePunct w:val="0"/>
        <w:autoSpaceDE/>
        <w:autoSpaceDN/>
        <w:bidi w:val="0"/>
        <w:spacing w:line="360" w:lineRule="auto"/>
        <w:ind w:left="0" w:leftChars="0" w:firstLine="420" w:firstLineChars="200"/>
        <w:textAlignment w:val="auto"/>
        <w:rPr>
          <w:rStyle w:val="56"/>
          <w:color w:val="auto"/>
          <w:kern w:val="0"/>
          <w:u w:val="none"/>
          <w:shd w:val="clear" w:color="auto" w:fill="FFFFFF"/>
        </w:rPr>
      </w:pPr>
      <w:r>
        <w:rPr>
          <w:rStyle w:val="56"/>
          <w:rFonts w:hint="eastAsia"/>
          <w:color w:val="auto"/>
          <w:kern w:val="0"/>
          <w:u w:val="none"/>
          <w:shd w:val="clear" w:color="auto" w:fill="FFFFFF"/>
        </w:rPr>
        <w:t>服务期限：</w:t>
      </w:r>
      <w:r>
        <w:rPr>
          <w:rFonts w:hint="eastAsia" w:ascii="宋体" w:hAnsi="宋体" w:cs="宋体"/>
        </w:rPr>
        <w:t>本项目服</w:t>
      </w:r>
      <w:r>
        <w:rPr>
          <w:rFonts w:hint="eastAsia" w:ascii="宋体" w:hAnsi="宋体" w:eastAsia="宋体" w:cs="宋体"/>
          <w:color w:val="000000"/>
          <w:highlight w:val="none"/>
          <w:lang w:val="en-US" w:eastAsia="zh-CN"/>
        </w:rPr>
        <w:t>务期限为90个自然日（实际服务时间以采购单位发出的进场通知起算，总计90个自然日）</w:t>
      </w:r>
      <w:r>
        <w:rPr>
          <w:rStyle w:val="56"/>
          <w:rFonts w:hint="eastAsia"/>
          <w:color w:val="auto"/>
          <w:kern w:val="0"/>
          <w:u w:val="none"/>
          <w:shd w:val="clear" w:color="auto" w:fill="FFFFFF"/>
        </w:rPr>
        <w:t>。（具体详见用户需求书）</w:t>
      </w:r>
    </w:p>
    <w:p>
      <w:pPr>
        <w:keepNext w:val="0"/>
        <w:keepLines w:val="0"/>
        <w:pageBreakBefore w:val="0"/>
        <w:numPr>
          <w:ilvl w:val="0"/>
          <w:numId w:val="7"/>
        </w:numPr>
        <w:kinsoku/>
        <w:wordWrap/>
        <w:overflowPunct/>
        <w:topLinePunct w:val="0"/>
        <w:autoSpaceDE/>
        <w:autoSpaceDN/>
        <w:bidi w:val="0"/>
        <w:spacing w:line="360" w:lineRule="auto"/>
        <w:ind w:left="0" w:leftChars="0" w:firstLine="420" w:firstLineChars="200"/>
        <w:textAlignment w:val="auto"/>
        <w:rPr>
          <w:rStyle w:val="56"/>
          <w:color w:val="auto"/>
          <w:kern w:val="0"/>
          <w:u w:val="none"/>
          <w:shd w:val="clear" w:color="auto" w:fill="FFFFFF"/>
        </w:rPr>
      </w:pPr>
      <w:r>
        <w:rPr>
          <w:rStyle w:val="56"/>
          <w:rFonts w:hint="eastAsia"/>
          <w:color w:val="auto"/>
          <w:kern w:val="0"/>
          <w:u w:val="none"/>
          <w:shd w:val="clear" w:color="auto" w:fill="FFFFFF"/>
        </w:rPr>
        <w:t>采购范围：本项目主要</w:t>
      </w:r>
      <w:r>
        <w:rPr>
          <w:rFonts w:hint="eastAsia" w:ascii="宋体" w:hAnsi="宋体" w:cs="宋体"/>
          <w:lang w:val="en-US" w:eastAsia="zh-CN"/>
        </w:rPr>
        <w:t>为根据长沙市轨道交通2号线电客车首轮大修、4号线电客车首轮架修项目物资采购、委外服务及设备需求方案完成概算说明书的编制及出具概算报告，并征得长沙市交通运输局</w:t>
      </w:r>
      <w:r>
        <w:rPr>
          <w:rFonts w:hint="eastAsia" w:ascii="宋体" w:hAnsi="宋体" w:cs="宋体"/>
          <w:highlight w:val="none"/>
          <w:lang w:val="en-US" w:eastAsia="zh-CN"/>
        </w:rPr>
        <w:t>等政府相关职能部门的同</w:t>
      </w:r>
      <w:r>
        <w:rPr>
          <w:rFonts w:hint="eastAsia" w:ascii="宋体" w:hAnsi="宋体" w:cs="宋体"/>
          <w:lang w:val="en-US" w:eastAsia="zh-CN"/>
        </w:rPr>
        <w:t>意。</w:t>
      </w:r>
      <w:r>
        <w:rPr>
          <w:rStyle w:val="56"/>
          <w:rFonts w:hint="eastAsia"/>
          <w:color w:val="auto"/>
          <w:kern w:val="0"/>
          <w:u w:val="none"/>
          <w:shd w:val="clear" w:color="auto" w:fill="FFFFFF"/>
        </w:rPr>
        <w:t>（具体详见用户需求书）</w:t>
      </w:r>
    </w:p>
    <w:p>
      <w:pPr>
        <w:pStyle w:val="43"/>
        <w:keepNext w:val="0"/>
        <w:keepLines w:val="0"/>
        <w:pageBreakBefore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firstLineChars="200"/>
        <w:jc w:val="both"/>
        <w:textAlignment w:val="auto"/>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资格要求</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Times New Roman" w:hAnsi="Times New Roman" w:eastAsia="宋体" w:cs="Times New Roman"/>
          <w:color w:val="auto"/>
          <w:kern w:val="0"/>
          <w:u w:val="none"/>
          <w:shd w:val="clear" w:color="auto" w:fill="FFFFFF"/>
          <w:lang w:val="en-US" w:eastAsia="zh-CN"/>
        </w:rPr>
      </w:pPr>
      <w:r>
        <w:rPr>
          <w:rStyle w:val="56"/>
          <w:rFonts w:hint="eastAsia" w:ascii="Times New Roman" w:hAnsi="Times New Roman" w:eastAsia="宋体" w:cs="Times New Roman"/>
          <w:color w:val="auto"/>
          <w:kern w:val="0"/>
          <w:u w:val="none"/>
          <w:shd w:val="clear" w:color="auto" w:fill="FFFFFF"/>
          <w:lang w:val="en-US" w:eastAsia="zh-CN"/>
        </w:rPr>
        <w:t>谈判单位须为具有独立法人资格、自主经营、独立核算的公司或事业单位，须提供加盖谈判单位公章的营业执照（事业单位法人证书）复印件。</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Times New Roman" w:hAnsi="Times New Roman" w:eastAsia="宋体" w:cs="Times New Roman"/>
          <w:color w:val="auto"/>
          <w:kern w:val="0"/>
          <w:u w:val="none"/>
          <w:shd w:val="clear" w:color="auto" w:fill="FFFFFF"/>
          <w:lang w:val="en-US" w:eastAsia="zh-CN"/>
        </w:rPr>
      </w:pPr>
      <w:r>
        <w:rPr>
          <w:rStyle w:val="56"/>
          <w:rFonts w:hint="eastAsia" w:ascii="Times New Roman" w:hAnsi="Times New Roman" w:eastAsia="宋体" w:cs="Times New Roman"/>
          <w:color w:val="auto"/>
          <w:kern w:val="0"/>
          <w:u w:val="none"/>
          <w:shd w:val="clear" w:color="auto" w:fill="FFFFFF"/>
          <w:lang w:val="en-US" w:eastAsia="zh-CN"/>
        </w:rPr>
        <w:t>谈判单位须具有一项入围业绩，入围业绩是指在本项目谈判截止之日前36个月内须具有造价咨询业绩。不接受联合体业绩、港澳台或境外业绩。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Times New Roman" w:hAnsi="Times New Roman" w:eastAsia="宋体" w:cs="Times New Roman"/>
          <w:color w:val="auto"/>
          <w:kern w:val="0"/>
          <w:highlight w:val="none"/>
          <w:u w:val="none"/>
          <w:shd w:val="clear" w:color="auto" w:fill="FFFFFF"/>
          <w:lang w:val="en-US" w:eastAsia="zh-CN"/>
        </w:rPr>
      </w:pPr>
      <w:r>
        <w:rPr>
          <w:rStyle w:val="56"/>
          <w:rFonts w:hint="eastAsia" w:ascii="Times New Roman" w:hAnsi="Times New Roman" w:eastAsia="宋体" w:cs="Times New Roman"/>
          <w:color w:val="auto"/>
          <w:kern w:val="0"/>
          <w:highlight w:val="none"/>
          <w:u w:val="none"/>
          <w:shd w:val="clear" w:color="auto" w:fill="FFFFFF"/>
          <w:lang w:val="en-US" w:eastAsia="zh-CN"/>
        </w:rPr>
        <w:t>业绩证明材料以同时提供的合同原件扫描件和可查验的增值税发票（开票金额不少于合同金额的10%）原件扫描件为准（均须加盖谈判单位公章），时间以合同中甲方签订时间为准。</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200"/>
        <w:textAlignment w:val="auto"/>
        <w:rPr>
          <w:rStyle w:val="56"/>
          <w:rFonts w:hint="default" w:ascii="Times New Roman" w:hAnsi="Times New Roman" w:eastAsia="宋体" w:cs="Times New Roman"/>
          <w:color w:val="auto"/>
          <w:kern w:val="0"/>
          <w:u w:val="none"/>
          <w:shd w:val="clear" w:color="auto" w:fill="FFFFFF"/>
          <w:lang w:val="en-US" w:eastAsia="zh-CN"/>
        </w:rPr>
      </w:pPr>
      <w:r>
        <w:rPr>
          <w:rStyle w:val="56"/>
          <w:rFonts w:hint="eastAsia" w:ascii="Times New Roman" w:hAnsi="Times New Roman" w:eastAsia="宋体" w:cs="Times New Roman"/>
          <w:color w:val="auto"/>
          <w:kern w:val="0"/>
          <w:u w:val="none"/>
          <w:shd w:val="clear" w:color="auto" w:fill="FFFFFF"/>
          <w:lang w:val="en-US" w:eastAsia="zh-CN"/>
        </w:rPr>
        <w:t>谈判单位拟投入本项目的现场服务人员须满足最低配备要求，详见《最低人员配备表》。</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Times New Roman" w:hAnsi="Times New Roman" w:eastAsia="宋体" w:cs="Times New Roman"/>
          <w:color w:val="auto"/>
          <w:kern w:val="0"/>
          <w:u w:val="none"/>
          <w:shd w:val="clear" w:color="auto" w:fill="FFFFFF"/>
          <w:lang w:val="en-US" w:eastAsia="zh-CN"/>
        </w:rPr>
      </w:pPr>
      <w:r>
        <w:rPr>
          <w:rStyle w:val="56"/>
          <w:rFonts w:hint="eastAsia" w:ascii="Times New Roman" w:hAnsi="Times New Roman" w:eastAsia="宋体" w:cs="Times New Roman"/>
          <w:color w:val="auto"/>
          <w:kern w:val="0"/>
          <w:u w:val="none"/>
          <w:shd w:val="clear" w:color="auto" w:fill="FFFFFF"/>
          <w:lang w:val="en-US" w:eastAsia="zh-CN"/>
        </w:rPr>
        <w:t>本次采购不接受联合体。</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Times New Roman" w:hAnsi="Times New Roman" w:eastAsia="宋体" w:cs="Times New Roman"/>
          <w:color w:val="auto"/>
          <w:kern w:val="0"/>
          <w:u w:val="none"/>
          <w:shd w:val="clear" w:color="auto" w:fill="FFFFFF"/>
          <w:lang w:val="en-US" w:eastAsia="zh-CN"/>
        </w:rPr>
      </w:pPr>
      <w:r>
        <w:rPr>
          <w:rStyle w:val="56"/>
          <w:rFonts w:hint="eastAsia" w:ascii="Times New Roman" w:hAnsi="Times New Roman" w:eastAsia="宋体" w:cs="Times New Roman"/>
          <w:color w:val="auto"/>
          <w:kern w:val="0"/>
          <w:u w:val="none"/>
          <w:shd w:val="clear" w:color="auto" w:fill="FFFFFF"/>
          <w:lang w:val="en-US" w:eastAsia="zh-CN"/>
        </w:rPr>
        <w:t>被长沙市轨道交通集团有限公司或长沙市轨道交通运营有限公司函告禁止在一定期限内参与投标的单位按函告内容执行。</w:t>
      </w:r>
    </w:p>
    <w:p>
      <w:pPr>
        <w:pStyle w:val="43"/>
        <w:keepNext w:val="0"/>
        <w:keepLines w:val="0"/>
        <w:pageBreakBefore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firstLineChars="200"/>
        <w:jc w:val="both"/>
        <w:textAlignment w:val="auto"/>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评审办法</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Style w:val="56"/>
          <w:rFonts w:ascii="Times New Roman" w:hAnsi="Times New Roman" w:cs="Times New Roman"/>
          <w:b/>
          <w:bCs/>
          <w:color w:val="auto"/>
          <w:sz w:val="21"/>
          <w:u w:val="none"/>
          <w:shd w:val="clear" w:color="auto" w:fill="FFFFFF"/>
        </w:rPr>
      </w:pPr>
      <w:r>
        <w:rPr>
          <w:rStyle w:val="56"/>
          <w:rFonts w:hint="eastAsia"/>
          <w:color w:val="auto"/>
          <w:kern w:val="0"/>
          <w:highlight w:val="none"/>
          <w:u w:val="none"/>
          <w:shd w:val="clear" w:color="auto" w:fill="FFFFFF"/>
        </w:rPr>
        <w:t>本项目评审办法采用：</w:t>
      </w:r>
      <w:r>
        <w:rPr>
          <w:rStyle w:val="56"/>
          <w:rFonts w:hint="eastAsia"/>
          <w:color w:val="auto"/>
          <w:kern w:val="0"/>
          <w:highlight w:val="none"/>
          <w:u w:val="none"/>
          <w:shd w:val="clear" w:color="auto" w:fill="FFFFFF"/>
        </w:rPr>
        <w:sym w:font="Wingdings 2" w:char="0052"/>
      </w:r>
      <w:r>
        <w:rPr>
          <w:rStyle w:val="56"/>
          <w:color w:val="auto"/>
          <w:kern w:val="0"/>
          <w:highlight w:val="none"/>
          <w:u w:val="none"/>
          <w:shd w:val="clear" w:color="auto" w:fill="FFFFFF"/>
        </w:rPr>
        <w:t xml:space="preserve"> </w:t>
      </w:r>
      <w:r>
        <w:rPr>
          <w:rStyle w:val="56"/>
          <w:rFonts w:hint="eastAsia"/>
          <w:color w:val="auto"/>
          <w:kern w:val="0"/>
          <w:highlight w:val="none"/>
          <w:u w:val="none"/>
          <w:shd w:val="clear" w:color="auto" w:fill="FFFFFF"/>
        </w:rPr>
        <w:t xml:space="preserve">经符合性审查合格后的最低价法   </w:t>
      </w:r>
      <w:r>
        <w:rPr>
          <w:rStyle w:val="56"/>
          <w:rFonts w:hint="eastAsia"/>
          <w:color w:val="auto"/>
          <w:kern w:val="0"/>
          <w:highlight w:val="none"/>
          <w:u w:val="none"/>
          <w:shd w:val="clear" w:color="auto" w:fill="FFFFFF"/>
        </w:rPr>
        <w:sym w:font="Wingdings 2" w:char="00A3"/>
      </w:r>
      <w:r>
        <w:rPr>
          <w:rStyle w:val="56"/>
          <w:rFonts w:hint="eastAsia"/>
          <w:color w:val="auto"/>
          <w:kern w:val="0"/>
          <w:highlight w:val="none"/>
          <w:u w:val="none"/>
          <w:shd w:val="clear" w:color="auto" w:fill="FFFFFF"/>
        </w:rPr>
        <w:t>综合评</w:t>
      </w:r>
      <w:r>
        <w:rPr>
          <w:rStyle w:val="56"/>
          <w:rFonts w:hint="eastAsia"/>
          <w:color w:val="auto"/>
          <w:kern w:val="0"/>
          <w:highlight w:val="none"/>
          <w:u w:val="none"/>
          <w:shd w:val="clear" w:color="auto" w:fill="FFFFFF"/>
          <w:lang w:val="en-US" w:eastAsia="zh-CN"/>
        </w:rPr>
        <w:t>审</w:t>
      </w:r>
      <w:r>
        <w:rPr>
          <w:rStyle w:val="56"/>
          <w:rFonts w:hint="eastAsia"/>
          <w:color w:val="auto"/>
          <w:kern w:val="0"/>
          <w:highlight w:val="none"/>
          <w:u w:val="none"/>
          <w:shd w:val="clear" w:color="auto" w:fill="FFFFFF"/>
        </w:rPr>
        <w:t>法</w:t>
      </w:r>
    </w:p>
    <w:p>
      <w:pPr>
        <w:pStyle w:val="43"/>
        <w:keepNext w:val="0"/>
        <w:keepLines w:val="0"/>
        <w:pageBreakBefore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firstLineChars="200"/>
        <w:jc w:val="both"/>
        <w:textAlignment w:val="auto"/>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自主竞争性谈判文件的获取</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Style w:val="56"/>
          <w:color w:val="auto"/>
          <w:kern w:val="0"/>
          <w:u w:val="none"/>
          <w:shd w:val="clear" w:color="auto" w:fill="FFFFFF"/>
        </w:rPr>
      </w:pPr>
      <w:r>
        <w:rPr>
          <w:rStyle w:val="56"/>
          <w:rFonts w:hint="eastAsia"/>
          <w:color w:val="auto"/>
          <w:kern w:val="0"/>
          <w:u w:val="none"/>
          <w:shd w:val="clear" w:color="auto" w:fill="FFFFFF"/>
        </w:rPr>
        <w:t>凡有意参加谈判的单位，自本公告发布之日起登录长沙市轨道交通集团有限公司官方网站（http://www.hncsmtr.com/）获取自主竞争性谈判文件。</w:t>
      </w:r>
    </w:p>
    <w:p>
      <w:pPr>
        <w:pStyle w:val="43"/>
        <w:keepNext w:val="0"/>
        <w:keepLines w:val="0"/>
        <w:pageBreakBefore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firstLineChars="200"/>
        <w:jc w:val="both"/>
        <w:textAlignment w:val="auto"/>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谈判文件的澄清与答疑</w:t>
      </w:r>
    </w:p>
    <w:p>
      <w:pPr>
        <w:pStyle w:val="43"/>
        <w:keepNext w:val="0"/>
        <w:keepLines w:val="0"/>
        <w:pageBreakBefore w:val="0"/>
        <w:numPr>
          <w:ilvl w:val="0"/>
          <w:numId w:val="9"/>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本项目不组织答疑会和现场踏勘。</w:t>
      </w:r>
    </w:p>
    <w:p>
      <w:pPr>
        <w:pStyle w:val="43"/>
        <w:keepNext w:val="0"/>
        <w:keepLines w:val="0"/>
        <w:pageBreakBefore w:val="0"/>
        <w:numPr>
          <w:ilvl w:val="0"/>
          <w:numId w:val="9"/>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u w:val="none"/>
          <w:shd w:val="clear" w:color="auto" w:fill="FFFFFF"/>
        </w:rPr>
        <w:t>谈判单位若对谈判文件有任何疑问，应</w:t>
      </w:r>
      <w:r>
        <w:rPr>
          <w:rStyle w:val="56"/>
          <w:rFonts w:hint="eastAsia" w:ascii="Times New Roman" w:hAnsi="Times New Roman" w:cs="Times New Roman"/>
          <w:color w:val="auto"/>
          <w:sz w:val="21"/>
          <w:highlight w:val="none"/>
          <w:u w:val="none"/>
          <w:shd w:val="clear" w:color="auto" w:fill="FFFFFF"/>
        </w:rPr>
        <w:t>于20</w:t>
      </w:r>
      <w:r>
        <w:rPr>
          <w:rStyle w:val="56"/>
          <w:rFonts w:hint="eastAsia" w:ascii="Times New Roman" w:hAnsi="Times New Roman" w:cs="Times New Roman"/>
          <w:color w:val="auto"/>
          <w:sz w:val="21"/>
          <w:highlight w:val="none"/>
          <w:u w:val="none"/>
          <w:shd w:val="clear" w:color="auto" w:fill="FFFFFF"/>
          <w:lang w:val="en-US" w:eastAsia="zh-CN"/>
        </w:rPr>
        <w:t>23</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u w:val="none"/>
          <w:shd w:val="clear" w:color="auto" w:fill="FFFFFF"/>
          <w:lang w:val="en-US" w:eastAsia="zh-CN"/>
        </w:rPr>
        <w:t>04</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u w:val="none"/>
          <w:shd w:val="clear" w:color="auto" w:fill="FFFFFF"/>
          <w:lang w:val="en-US" w:eastAsia="zh-CN"/>
        </w:rPr>
        <w:t>14</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u w:val="none"/>
          <w:shd w:val="clear" w:color="auto" w:fill="FFFFFF"/>
        </w:rPr>
        <w:t>17：00</w:t>
      </w:r>
      <w:r>
        <w:rPr>
          <w:rStyle w:val="56"/>
          <w:rFonts w:hint="eastAsia" w:ascii="Times New Roman" w:hAnsi="Times New Roman" w:cs="Times New Roman"/>
          <w:color w:val="auto"/>
          <w:sz w:val="21"/>
          <w:u w:val="none"/>
          <w:shd w:val="clear" w:color="auto" w:fill="FFFFFF"/>
        </w:rPr>
        <w:t>时（含）前（节假日除外）以书面</w:t>
      </w:r>
      <w:r>
        <w:rPr>
          <w:rStyle w:val="56"/>
          <w:rFonts w:hint="eastAsia" w:ascii="Times New Roman" w:hAnsi="Times New Roman" w:cs="Times New Roman"/>
          <w:color w:val="auto"/>
          <w:sz w:val="21"/>
          <w:highlight w:val="none"/>
          <w:u w:val="none"/>
          <w:shd w:val="clear" w:color="auto" w:fill="FFFFFF"/>
        </w:rPr>
        <w:t>形式（经法定代表人签字或盖章，并加盖单位公章）递交至采购</w:t>
      </w:r>
      <w:r>
        <w:rPr>
          <w:rStyle w:val="56"/>
          <w:rFonts w:hint="eastAsia" w:ascii="Times New Roman" w:hAnsi="Times New Roman" w:cs="Times New Roman"/>
          <w:color w:val="auto"/>
          <w:sz w:val="21"/>
          <w:highlight w:val="none"/>
          <w:u w:val="none"/>
          <w:shd w:val="clear" w:color="auto" w:fill="FFFFFF"/>
          <w:lang w:eastAsia="zh-CN"/>
        </w:rPr>
        <w:t>单位</w:t>
      </w:r>
      <w:r>
        <w:rPr>
          <w:rStyle w:val="56"/>
          <w:rFonts w:hint="eastAsia" w:ascii="Times New Roman" w:hAnsi="Times New Roman" w:cs="Times New Roman"/>
          <w:color w:val="auto"/>
          <w:sz w:val="21"/>
          <w:highlight w:val="none"/>
          <w:u w:val="none"/>
          <w:shd w:val="clear" w:color="auto" w:fill="FFFFFF"/>
        </w:rPr>
        <w:t>。</w:t>
      </w:r>
    </w:p>
    <w:p>
      <w:pPr>
        <w:pStyle w:val="43"/>
        <w:keepNext w:val="0"/>
        <w:keepLines w:val="0"/>
        <w:pageBreakBefore w:val="0"/>
        <w:numPr>
          <w:ilvl w:val="0"/>
          <w:numId w:val="9"/>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在谈判截止时间前，采购单位可主动地或在解答谈判单位提出的问题时对谈判文件进行澄清或修改。</w:t>
      </w:r>
    </w:p>
    <w:p>
      <w:pPr>
        <w:pStyle w:val="43"/>
        <w:keepNext w:val="0"/>
        <w:keepLines w:val="0"/>
        <w:pageBreakBefore w:val="0"/>
        <w:numPr>
          <w:ilvl w:val="0"/>
          <w:numId w:val="9"/>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澄清或者修改的内容可能影响响应文件编制的，采购单位应当在提交响应文件截止之日3个工作日前，在长沙市轨道交通集团有限公司官方网站（http://www.hncsmtr.com/）发布澄清或答疑文件及顺延谈判时间，敬请获得谈判文件的所有谈判单位关注，恕不另行通知，如有遗漏，采购单位不负任何责任。</w:t>
      </w:r>
    </w:p>
    <w:p>
      <w:pPr>
        <w:pStyle w:val="43"/>
        <w:keepNext w:val="0"/>
        <w:keepLines w:val="0"/>
        <w:pageBreakBefore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firstLineChars="200"/>
        <w:jc w:val="both"/>
        <w:textAlignment w:val="auto"/>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谈判保证金提交与退还</w:t>
      </w:r>
    </w:p>
    <w:p>
      <w:pPr>
        <w:pStyle w:val="43"/>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highlight w:val="none"/>
          <w:u w:val="none"/>
          <w:shd w:val="clear" w:color="auto" w:fill="FFFFFF"/>
        </w:rPr>
      </w:pPr>
      <w:r>
        <w:rPr>
          <w:rFonts w:hint="eastAsia"/>
          <w:color w:val="auto"/>
          <w:sz w:val="21"/>
          <w:szCs w:val="21"/>
          <w:highlight w:val="none"/>
          <w:shd w:val="clear" w:color="auto" w:fill="FFFFFF"/>
          <w:lang w:bidi="ar"/>
        </w:rPr>
        <w:sym w:font="Wingdings" w:char="00A8"/>
      </w:r>
      <w:r>
        <w:rPr>
          <w:rStyle w:val="56"/>
          <w:rFonts w:hint="eastAsia" w:ascii="Times New Roman" w:hAnsi="Times New Roman" w:cs="Times New Roman"/>
          <w:color w:val="auto"/>
          <w:sz w:val="21"/>
          <w:highlight w:val="none"/>
          <w:u w:val="none"/>
          <w:shd w:val="clear" w:color="auto" w:fill="FFFFFF"/>
        </w:rPr>
        <w:t>不要求提交谈判保证金。</w:t>
      </w:r>
    </w:p>
    <w:p>
      <w:pPr>
        <w:pStyle w:val="43"/>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left="0" w:leftChars="0"/>
        <w:jc w:val="both"/>
        <w:textAlignment w:val="auto"/>
        <w:rPr>
          <w:rStyle w:val="56"/>
          <w:rFonts w:ascii="Times New Roman" w:hAnsi="Times New Roman" w:cs="Times New Roman"/>
          <w:b/>
          <w:bCs/>
          <w:color w:val="auto"/>
          <w:sz w:val="21"/>
          <w:u w:val="none"/>
          <w:shd w:val="clear" w:color="auto" w:fill="FFFFFF"/>
        </w:rPr>
      </w:pPr>
      <w:r>
        <w:rPr>
          <w:rFonts w:hint="eastAsia"/>
          <w:color w:val="auto"/>
          <w:sz w:val="21"/>
          <w:szCs w:val="21"/>
          <w:highlight w:val="none"/>
          <w:shd w:val="clear" w:color="auto" w:fill="FFFFFF"/>
          <w:lang w:bidi="ar"/>
        </w:rPr>
        <w:sym w:font="Wingdings" w:char="00FE"/>
      </w:r>
      <w:r>
        <w:rPr>
          <w:rFonts w:hint="eastAsia"/>
          <w:color w:val="auto"/>
          <w:sz w:val="21"/>
          <w:szCs w:val="21"/>
          <w:highlight w:val="none"/>
          <w:shd w:val="clear" w:color="auto" w:fill="FFFFFF"/>
          <w:lang w:bidi="ar"/>
        </w:rPr>
        <w:t>要求提交谈判保证金，具体要求如下：</w:t>
      </w:r>
    </w:p>
    <w:p>
      <w:pPr>
        <w:pStyle w:val="43"/>
        <w:keepNext w:val="0"/>
        <w:keepLines w:val="0"/>
        <w:pageBreakBefore w:val="0"/>
        <w:numPr>
          <w:ilvl w:val="0"/>
          <w:numId w:val="10"/>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lang w:val="en-US" w:eastAsia="zh-CN"/>
        </w:rPr>
        <w:t>所有</w:t>
      </w:r>
      <w:r>
        <w:rPr>
          <w:rStyle w:val="56"/>
          <w:rFonts w:hint="eastAsia" w:ascii="Times New Roman" w:hAnsi="Times New Roman" w:cs="Times New Roman"/>
          <w:color w:val="auto"/>
          <w:sz w:val="21"/>
          <w:u w:val="none"/>
          <w:shd w:val="clear" w:color="auto" w:fill="FFFFFF"/>
        </w:rPr>
        <w:t>谈判单位须在城轨采购网（网址：</w:t>
      </w:r>
      <w:r>
        <w:fldChar w:fldCharType="begin"/>
      </w:r>
      <w:r>
        <w:instrText xml:space="preserve"> HYPERLINK "http://www.mtrmart.com）注册参与并按要求提交投标保证金。本次投标保证金的金额为（人民币）" </w:instrText>
      </w:r>
      <w:r>
        <w:fldChar w:fldCharType="separate"/>
      </w:r>
      <w:r>
        <w:rPr>
          <w:rStyle w:val="56"/>
          <w:rFonts w:hint="eastAsia" w:ascii="Times New Roman" w:hAnsi="Times New Roman" w:cs="Times New Roman"/>
          <w:color w:val="auto"/>
          <w:sz w:val="21"/>
          <w:u w:val="none"/>
          <w:shd w:val="clear" w:color="auto" w:fill="FFFFFF"/>
        </w:rPr>
        <w:t>www.mtrmart.com）注册参与并按要求提交谈判保证金。本次谈判保证金的金额为（人民币）</w:t>
      </w:r>
      <w:r>
        <w:rPr>
          <w:rStyle w:val="56"/>
          <w:rFonts w:hint="eastAsia" w:ascii="Times New Roman" w:hAnsi="Times New Roman" w:cs="Times New Roman"/>
          <w:color w:val="auto"/>
          <w:sz w:val="21"/>
          <w:u w:val="none"/>
          <w:shd w:val="clear" w:color="auto" w:fill="FFFFFF"/>
        </w:rPr>
        <w:fldChar w:fldCharType="end"/>
      </w:r>
      <w:r>
        <w:rPr>
          <w:rStyle w:val="56"/>
          <w:rFonts w:hint="eastAsia" w:ascii="Times New Roman" w:hAnsi="Times New Roman" w:cs="Times New Roman"/>
          <w:color w:val="auto"/>
          <w:sz w:val="21"/>
          <w:highlight w:val="none"/>
          <w:shd w:val="clear" w:color="auto" w:fill="FFFFFF"/>
        </w:rPr>
        <w:t>肆仟壹佰元整</w:t>
      </w:r>
      <w:r>
        <w:rPr>
          <w:rFonts w:hint="eastAsia"/>
          <w:color w:val="000000"/>
          <w:sz w:val="21"/>
          <w:szCs w:val="21"/>
          <w:highlight w:val="none"/>
          <w:shd w:val="clear" w:color="auto" w:fill="FFFFFF"/>
          <w:lang w:bidi="ar"/>
        </w:rPr>
        <w:t>（¥</w:t>
      </w:r>
      <w:r>
        <w:rPr>
          <w:rFonts w:hint="eastAsia"/>
          <w:color w:val="000000"/>
          <w:sz w:val="21"/>
          <w:szCs w:val="21"/>
          <w:highlight w:val="none"/>
          <w:u w:val="single"/>
          <w:shd w:val="clear" w:color="auto" w:fill="FFFFFF"/>
          <w:lang w:bidi="ar"/>
        </w:rPr>
        <w:t>4100.00</w:t>
      </w:r>
      <w:r>
        <w:rPr>
          <w:rFonts w:hint="eastAsia"/>
          <w:color w:val="000000"/>
          <w:sz w:val="21"/>
          <w:szCs w:val="21"/>
          <w:highlight w:val="none"/>
          <w:shd w:val="clear" w:color="auto" w:fill="FFFFFF"/>
          <w:lang w:bidi="ar"/>
        </w:rPr>
        <w:t>元）</w:t>
      </w:r>
      <w:r>
        <w:rPr>
          <w:rStyle w:val="56"/>
          <w:rFonts w:hint="eastAsia" w:ascii="Times New Roman" w:hAnsi="Times New Roman" w:cs="Times New Roman"/>
          <w:color w:val="auto"/>
          <w:sz w:val="21"/>
          <w:u w:val="none"/>
          <w:shd w:val="clear" w:color="auto" w:fill="FFFFFF"/>
        </w:rPr>
        <w:t>，谈判保证金必须由谈判单位的银行对公账户一次性足额转出，提交谈判保证金的账户名称应与谈判单位的名称一致，不得以分支机构等其他名义提交。否则将无权限参加本次谈判。</w:t>
      </w:r>
    </w:p>
    <w:p>
      <w:pPr>
        <w:pStyle w:val="43"/>
        <w:keepNext w:val="0"/>
        <w:keepLines w:val="0"/>
        <w:pageBreakBefore w:val="0"/>
        <w:numPr>
          <w:ilvl w:val="0"/>
          <w:numId w:val="10"/>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本次参与谈判单位的谈判保证金必须</w:t>
      </w:r>
      <w:r>
        <w:rPr>
          <w:rStyle w:val="56"/>
          <w:rFonts w:hint="eastAsia" w:ascii="Times New Roman" w:hAnsi="Times New Roman" w:cs="Times New Roman"/>
          <w:color w:val="auto"/>
          <w:sz w:val="21"/>
          <w:highlight w:val="none"/>
          <w:u w:val="none"/>
          <w:shd w:val="clear" w:color="auto" w:fill="FFFFFF"/>
        </w:rPr>
        <w:t>在20</w:t>
      </w:r>
      <w:r>
        <w:rPr>
          <w:rStyle w:val="56"/>
          <w:rFonts w:hint="eastAsia" w:ascii="Times New Roman" w:hAnsi="Times New Roman" w:cs="Times New Roman"/>
          <w:color w:val="auto"/>
          <w:sz w:val="21"/>
          <w:highlight w:val="none"/>
          <w:u w:val="none"/>
          <w:shd w:val="clear" w:color="auto" w:fill="FFFFFF"/>
          <w:lang w:val="en-US" w:eastAsia="zh-CN"/>
        </w:rPr>
        <w:t>23</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u w:val="none"/>
          <w:shd w:val="clear" w:color="auto" w:fill="FFFFFF"/>
          <w:lang w:val="en-US" w:eastAsia="zh-CN"/>
        </w:rPr>
        <w:t>04</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u w:val="none"/>
          <w:shd w:val="clear" w:color="auto" w:fill="FFFFFF"/>
          <w:lang w:val="en-US" w:eastAsia="zh-CN"/>
        </w:rPr>
        <w:t>20</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shd w:val="clear" w:color="auto" w:fill="FFFFFF"/>
          <w:lang w:val="en-US" w:eastAsia="zh-CN"/>
        </w:rPr>
        <w:t>9:00</w:t>
      </w:r>
      <w:r>
        <w:rPr>
          <w:rStyle w:val="56"/>
          <w:rFonts w:hint="eastAsia" w:ascii="Times New Roman" w:hAnsi="Times New Roman" w:cs="Times New Roman"/>
          <w:color w:val="auto"/>
          <w:sz w:val="21"/>
          <w:highlight w:val="none"/>
          <w:u w:val="none"/>
          <w:shd w:val="clear" w:color="auto" w:fill="FFFFFF"/>
        </w:rPr>
        <w:t>前</w:t>
      </w:r>
      <w:r>
        <w:rPr>
          <w:rStyle w:val="56"/>
          <w:rFonts w:hint="eastAsia" w:ascii="Times New Roman" w:hAnsi="Times New Roman" w:cs="Times New Roman"/>
          <w:color w:val="auto"/>
          <w:sz w:val="21"/>
          <w:u w:val="none"/>
          <w:shd w:val="clear" w:color="auto" w:fill="FFFFFF"/>
        </w:rPr>
        <w:t>(含)到达专用账户（以托管银行到账的日期为准），逾期或未提交谈判保证金的谈判单位，将无权限参加本次谈判。</w:t>
      </w:r>
    </w:p>
    <w:p>
      <w:pPr>
        <w:pStyle w:val="43"/>
        <w:keepNext w:val="0"/>
        <w:keepLines w:val="0"/>
        <w:pageBreakBefore w:val="0"/>
        <w:numPr>
          <w:ilvl w:val="0"/>
          <w:numId w:val="10"/>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本次谈判保证金的提交仅接受银行转账的方式，谈判保证金由广州地铁物资有限公司代收、代退。账户名为广州地铁物资有限公司（开户分行：平安银行广州分行营业部），城轨采购网（网址：www.mtrmart.com）系统会为本项目自动生成谈判保证金账户信息（虚拟子账户），相关账户信息以实际信息为准。</w:t>
      </w:r>
    </w:p>
    <w:p>
      <w:pPr>
        <w:pStyle w:val="43"/>
        <w:keepNext w:val="0"/>
        <w:keepLines w:val="0"/>
        <w:pageBreakBefore w:val="0"/>
        <w:numPr>
          <w:ilvl w:val="0"/>
          <w:numId w:val="10"/>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谈判保证金的退还：未中选单位的谈判保证金，将在其确定对本项目谈判采购过程及结果无异议，且在中选结果公示截止后予以退还谈判保证金；中选单位的谈判保证金将在签署合同并提交履约保证金后予以退还。如在退还谈判保证金时发生银行费用，则在谈判保证金金额内扣减后将余额退回。</w:t>
      </w:r>
    </w:p>
    <w:p>
      <w:pPr>
        <w:pStyle w:val="43"/>
        <w:keepNext w:val="0"/>
        <w:keepLines w:val="0"/>
        <w:pageBreakBefore w:val="0"/>
        <w:numPr>
          <w:ilvl w:val="0"/>
          <w:numId w:val="10"/>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项目终止谈判保证金退还，已经收取谈判保证金的，将在终止采购活动后无息退还所收取的谈判保证金。重新组织采购时，谈判单位应当重新获取保证金账号，并提交谈判保证金。</w:t>
      </w:r>
    </w:p>
    <w:p>
      <w:pPr>
        <w:pStyle w:val="43"/>
        <w:keepNext w:val="0"/>
        <w:keepLines w:val="0"/>
        <w:pageBreakBefore w:val="0"/>
        <w:numPr>
          <w:ilvl w:val="0"/>
          <w:numId w:val="10"/>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谈判单位在谈判截止时间前撤回已提交的响应文件的，将在收到供应商书面撤回通知后，退还已收取的谈判保证金。</w:t>
      </w:r>
    </w:p>
    <w:p>
      <w:pPr>
        <w:pStyle w:val="43"/>
        <w:keepNext w:val="0"/>
        <w:keepLines w:val="0"/>
        <w:pageBreakBefore w:val="0"/>
        <w:numPr>
          <w:ilvl w:val="0"/>
          <w:numId w:val="10"/>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出现包括但不限于下列情况的，采购单位将按照长沙市轨道交通运营有限公司相关制度和合同条款等相关规定，视其情节轻重，给予没收部分或全部谈判保证金，并出具书面处理决定，除此之外，如谈判单位给采购单位造成的损失超过谈判保证金数额的，谈判单位应当对超过部分给予赔偿。</w:t>
      </w:r>
    </w:p>
    <w:p>
      <w:pPr>
        <w:pStyle w:val="43"/>
        <w:keepNext w:val="0"/>
        <w:keepLines w:val="0"/>
        <w:pageBreakBefore w:val="0"/>
        <w:numPr>
          <w:ilvl w:val="0"/>
          <w:numId w:val="11"/>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谈判单位提出撤回或撤销或放弃中选资格或对报价提出实质性修改；</w:t>
      </w:r>
    </w:p>
    <w:p>
      <w:pPr>
        <w:pStyle w:val="43"/>
        <w:keepNext w:val="0"/>
        <w:keepLines w:val="0"/>
        <w:pageBreakBefore w:val="0"/>
        <w:numPr>
          <w:ilvl w:val="0"/>
          <w:numId w:val="11"/>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中选单位未能在规定期限内签订合同或不按报价结果签订合同；</w:t>
      </w:r>
    </w:p>
    <w:p>
      <w:pPr>
        <w:pStyle w:val="43"/>
        <w:keepNext w:val="0"/>
        <w:keepLines w:val="0"/>
        <w:pageBreakBefore w:val="0"/>
        <w:numPr>
          <w:ilvl w:val="0"/>
          <w:numId w:val="11"/>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中选单位未能在规定期限内提交履约保证金；</w:t>
      </w:r>
    </w:p>
    <w:p>
      <w:pPr>
        <w:pStyle w:val="43"/>
        <w:keepNext w:val="0"/>
        <w:keepLines w:val="0"/>
        <w:pageBreakBefore w:val="0"/>
        <w:numPr>
          <w:ilvl w:val="0"/>
          <w:numId w:val="11"/>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中选单位在合同订立过程中未能完全响应采购文件、清单、附件、合同要求以致合同无法订立的；</w:t>
      </w:r>
    </w:p>
    <w:p>
      <w:pPr>
        <w:pStyle w:val="43"/>
        <w:keepNext w:val="0"/>
        <w:keepLines w:val="0"/>
        <w:pageBreakBefore w:val="0"/>
        <w:numPr>
          <w:ilvl w:val="0"/>
          <w:numId w:val="11"/>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经查实谈判单位报价资料弄虚作假的；</w:t>
      </w:r>
    </w:p>
    <w:p>
      <w:pPr>
        <w:pStyle w:val="43"/>
        <w:keepNext w:val="0"/>
        <w:keepLines w:val="0"/>
        <w:pageBreakBefore w:val="0"/>
        <w:numPr>
          <w:ilvl w:val="0"/>
          <w:numId w:val="11"/>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串通参与谈判相关行为的。如不同谈判单位的谈判保证金从同一账户转出。</w:t>
      </w:r>
    </w:p>
    <w:p>
      <w:pPr>
        <w:pStyle w:val="43"/>
        <w:keepNext w:val="0"/>
        <w:keepLines w:val="0"/>
        <w:pageBreakBefore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firstLineChars="200"/>
        <w:jc w:val="both"/>
        <w:textAlignment w:val="auto"/>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响应文件的递交</w:t>
      </w:r>
    </w:p>
    <w:p>
      <w:pPr>
        <w:pStyle w:val="43"/>
        <w:keepNext w:val="0"/>
        <w:keepLines w:val="0"/>
        <w:pageBreakBefore w:val="0"/>
        <w:numPr>
          <w:ilvl w:val="0"/>
          <w:numId w:val="12"/>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响应文件递交的截止时间及谈判时间</w:t>
      </w:r>
      <w:r>
        <w:rPr>
          <w:rStyle w:val="56"/>
          <w:rFonts w:hint="eastAsia" w:ascii="Times New Roman" w:hAnsi="Times New Roman" w:cs="Times New Roman"/>
          <w:color w:val="auto"/>
          <w:sz w:val="21"/>
          <w:highlight w:val="none"/>
          <w:u w:val="none"/>
          <w:shd w:val="clear" w:color="auto" w:fill="FFFFFF"/>
        </w:rPr>
        <w:t>为20</w:t>
      </w:r>
      <w:r>
        <w:rPr>
          <w:rStyle w:val="56"/>
          <w:rFonts w:hint="eastAsia" w:ascii="Times New Roman" w:hAnsi="Times New Roman" w:cs="Times New Roman"/>
          <w:color w:val="auto"/>
          <w:sz w:val="21"/>
          <w:highlight w:val="none"/>
          <w:u w:val="none"/>
          <w:shd w:val="clear" w:color="auto" w:fill="FFFFFF"/>
          <w:lang w:val="en-US" w:eastAsia="zh-CN"/>
        </w:rPr>
        <w:t>23</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u w:val="none"/>
          <w:shd w:val="clear" w:color="auto" w:fill="FFFFFF"/>
          <w:lang w:val="en-US" w:eastAsia="zh-CN"/>
        </w:rPr>
        <w:t>04</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u w:val="none"/>
          <w:shd w:val="clear" w:color="auto" w:fill="FFFFFF"/>
          <w:lang w:val="en-US" w:eastAsia="zh-CN"/>
        </w:rPr>
        <w:t>20</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u w:val="none"/>
          <w:shd w:val="clear" w:color="auto" w:fill="FFFFFF"/>
          <w:lang w:val="en-US" w:eastAsia="zh-CN"/>
        </w:rPr>
        <w:t>10</w:t>
      </w:r>
      <w:r>
        <w:rPr>
          <w:rStyle w:val="56"/>
          <w:rFonts w:hint="eastAsia" w:ascii="Times New Roman" w:hAnsi="Times New Roman" w:cs="Times New Roman"/>
          <w:color w:val="auto"/>
          <w:sz w:val="21"/>
          <w:highlight w:val="none"/>
          <w:u w:val="none"/>
          <w:shd w:val="clear" w:color="auto" w:fill="FFFFFF"/>
        </w:rPr>
        <w:t>时</w:t>
      </w:r>
      <w:r>
        <w:rPr>
          <w:rStyle w:val="56"/>
          <w:rFonts w:hint="eastAsia" w:ascii="Times New Roman" w:hAnsi="Times New Roman" w:cs="Times New Roman"/>
          <w:color w:val="auto"/>
          <w:sz w:val="21"/>
          <w:highlight w:val="none"/>
          <w:u w:val="none"/>
          <w:shd w:val="clear" w:color="auto" w:fill="FFFFFF"/>
          <w:lang w:val="en-US" w:eastAsia="zh-CN"/>
        </w:rPr>
        <w:t>30</w:t>
      </w:r>
      <w:r>
        <w:rPr>
          <w:rStyle w:val="56"/>
          <w:rFonts w:hint="eastAsia" w:ascii="Times New Roman" w:hAnsi="Times New Roman" w:cs="Times New Roman"/>
          <w:color w:val="auto"/>
          <w:sz w:val="21"/>
          <w:highlight w:val="none"/>
          <w:u w:val="none"/>
          <w:shd w:val="clear" w:color="auto" w:fill="FFFFFF"/>
        </w:rPr>
        <w:t>分</w:t>
      </w:r>
      <w:r>
        <w:rPr>
          <w:rStyle w:val="56"/>
          <w:rFonts w:hint="eastAsia" w:ascii="Times New Roman" w:hAnsi="Times New Roman" w:cs="Times New Roman"/>
          <w:color w:val="auto"/>
          <w:sz w:val="21"/>
          <w:u w:val="none"/>
          <w:shd w:val="clear" w:color="auto" w:fill="FFFFFF"/>
        </w:rPr>
        <w:t>，地点为长沙市劳动东路二段48号黄兴车辆段综合楼</w:t>
      </w:r>
      <w:r>
        <w:rPr>
          <w:rStyle w:val="56"/>
          <w:rFonts w:hint="eastAsia" w:ascii="Times New Roman" w:hAnsi="Times New Roman" w:cs="Times New Roman"/>
          <w:color w:val="auto"/>
          <w:sz w:val="21"/>
          <w:highlight w:val="none"/>
          <w:u w:val="none"/>
          <w:shd w:val="clear" w:color="auto" w:fill="FFFFFF"/>
          <w:lang w:val="en-US" w:eastAsia="zh-CN"/>
        </w:rPr>
        <w:t>9</w:t>
      </w:r>
      <w:r>
        <w:rPr>
          <w:rStyle w:val="56"/>
          <w:rFonts w:hint="eastAsia" w:ascii="Times New Roman" w:hAnsi="Times New Roman" w:cs="Times New Roman"/>
          <w:color w:val="auto"/>
          <w:sz w:val="21"/>
          <w:highlight w:val="none"/>
          <w:u w:val="none"/>
          <w:shd w:val="clear" w:color="auto" w:fill="FFFFFF"/>
        </w:rPr>
        <w:t>楼</w:t>
      </w:r>
      <w:r>
        <w:rPr>
          <w:rStyle w:val="56"/>
          <w:rFonts w:hint="eastAsia" w:ascii="Times New Roman" w:hAnsi="Times New Roman" w:cs="Times New Roman"/>
          <w:color w:val="auto"/>
          <w:sz w:val="21"/>
          <w:highlight w:val="none"/>
          <w:u w:val="none"/>
          <w:shd w:val="clear" w:color="auto" w:fill="FFFFFF"/>
          <w:lang w:val="en-US" w:eastAsia="zh-CN"/>
        </w:rPr>
        <w:t>910</w:t>
      </w:r>
      <w:r>
        <w:rPr>
          <w:rFonts w:hint="eastAsia" w:ascii="宋体" w:hAnsi="宋体" w:eastAsia="宋体" w:cs="宋体"/>
          <w:kern w:val="2"/>
          <w:sz w:val="21"/>
          <w:szCs w:val="21"/>
          <w:lang w:val="en-US" w:eastAsia="zh-CN" w:bidi="ar-SA"/>
        </w:rPr>
        <w:t>电子评标室</w:t>
      </w:r>
      <w:r>
        <w:rPr>
          <w:rStyle w:val="56"/>
          <w:rFonts w:hint="eastAsia" w:ascii="Times New Roman" w:hAnsi="Times New Roman" w:cs="Times New Roman"/>
          <w:color w:val="auto"/>
          <w:sz w:val="21"/>
          <w:highlight w:val="none"/>
          <w:u w:val="none"/>
          <w:shd w:val="clear" w:color="auto" w:fill="FFFFFF"/>
        </w:rPr>
        <w:t>。</w:t>
      </w:r>
    </w:p>
    <w:p>
      <w:pPr>
        <w:pStyle w:val="43"/>
        <w:keepNext w:val="0"/>
        <w:keepLines w:val="0"/>
        <w:pageBreakBefore w:val="0"/>
        <w:numPr>
          <w:ilvl w:val="0"/>
          <w:numId w:val="12"/>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hint="eastAsia" w:ascii="Times New Roman" w:hAnsi="Times New Roman" w:cs="Times New Roman"/>
          <w:color w:val="auto"/>
          <w:sz w:val="21"/>
          <w:u w:val="none"/>
          <w:shd w:val="clear" w:color="auto" w:fill="FFFFFF"/>
        </w:rPr>
        <w:t>逾期送达的或者未送达指定地点的或者未密封的响应文件（含电子文件），</w:t>
      </w:r>
      <w:r>
        <w:rPr>
          <w:rStyle w:val="56"/>
          <w:rFonts w:hint="eastAsia" w:ascii="Times New Roman" w:hAnsi="Times New Roman" w:cs="Times New Roman"/>
          <w:color w:val="auto"/>
          <w:sz w:val="21"/>
          <w:highlight w:val="none"/>
          <w:u w:val="none"/>
          <w:shd w:val="clear" w:color="auto" w:fill="FFFFFF"/>
        </w:rPr>
        <w:t>采购单位将</w:t>
      </w:r>
      <w:r>
        <w:rPr>
          <w:rStyle w:val="56"/>
          <w:rFonts w:hint="eastAsia" w:ascii="Times New Roman" w:hAnsi="Times New Roman" w:cs="Times New Roman"/>
          <w:color w:val="auto"/>
          <w:sz w:val="21"/>
          <w:u w:val="none"/>
          <w:shd w:val="clear" w:color="auto" w:fill="FFFFFF"/>
        </w:rPr>
        <w:t>予以拒收。</w:t>
      </w:r>
    </w:p>
    <w:p>
      <w:pPr>
        <w:pStyle w:val="43"/>
        <w:keepNext w:val="0"/>
        <w:keepLines w:val="0"/>
        <w:pageBreakBefore w:val="0"/>
        <w:widowControl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firstLineChars="200"/>
        <w:jc w:val="both"/>
        <w:textAlignment w:val="auto"/>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中选原则</w:t>
      </w:r>
    </w:p>
    <w:p>
      <w:pPr>
        <w:pStyle w:val="43"/>
        <w:keepNext w:val="0"/>
        <w:keepLines w:val="0"/>
        <w:pageBreakBefore w:val="0"/>
        <w:numPr>
          <w:ilvl w:val="0"/>
          <w:numId w:val="13"/>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szCs w:val="21"/>
          <w:u w:val="none"/>
          <w:shd w:val="clear" w:color="auto" w:fill="FFFFFF"/>
        </w:rPr>
      </w:pPr>
      <w:r>
        <w:rPr>
          <w:rStyle w:val="56"/>
          <w:rFonts w:hint="eastAsia" w:ascii="Times New Roman" w:hAnsi="Times New Roman" w:cs="Times New Roman"/>
          <w:color w:val="auto"/>
          <w:sz w:val="21"/>
          <w:szCs w:val="21"/>
          <w:u w:val="none"/>
          <w:shd w:val="clear" w:color="auto" w:fill="FFFFFF"/>
        </w:rPr>
        <w:t>谈判评审小组按照综合得分由高到低的顺序推荐不超过3名中选候选人，并对排名第一的中选候选人进行公示。经公示无异议后，确定排名第一的中选候选人为中选人。</w:t>
      </w:r>
    </w:p>
    <w:p>
      <w:pPr>
        <w:pStyle w:val="43"/>
        <w:keepNext w:val="0"/>
        <w:keepLines w:val="0"/>
        <w:pageBreakBefore w:val="0"/>
        <w:numPr>
          <w:ilvl w:val="0"/>
          <w:numId w:val="13"/>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szCs w:val="21"/>
          <w:u w:val="none"/>
          <w:shd w:val="clear" w:color="auto" w:fill="FFFFFF"/>
        </w:rPr>
      </w:pPr>
      <w:r>
        <w:rPr>
          <w:rStyle w:val="56"/>
          <w:rFonts w:hint="eastAsia" w:ascii="Times New Roman" w:hAnsi="Times New Roman" w:cs="Times New Roman"/>
          <w:color w:val="auto"/>
          <w:sz w:val="21"/>
          <w:szCs w:val="21"/>
          <w:u w:val="none"/>
          <w:shd w:val="clear" w:color="auto" w:fill="FFFFFF"/>
        </w:rPr>
        <w:t>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pStyle w:val="43"/>
        <w:keepNext w:val="0"/>
        <w:keepLines w:val="0"/>
        <w:pageBreakBefore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jc w:val="both"/>
        <w:textAlignment w:val="auto"/>
        <w:rPr>
          <w:rStyle w:val="56"/>
          <w:rFonts w:ascii="Times New Roman" w:hAnsi="Times New Roman" w:cs="Times New Roman"/>
          <w:b/>
          <w:bCs/>
          <w:color w:val="auto"/>
          <w:sz w:val="21"/>
          <w:u w:val="none"/>
          <w:shd w:val="clear" w:color="auto" w:fill="FFFFFF"/>
        </w:rPr>
      </w:pPr>
      <w:r>
        <w:rPr>
          <w:rStyle w:val="56"/>
          <w:rFonts w:hint="eastAsia" w:ascii="Times New Roman" w:hAnsi="Times New Roman" w:cs="Times New Roman"/>
          <w:b/>
          <w:bCs/>
          <w:color w:val="auto"/>
          <w:sz w:val="21"/>
          <w:u w:val="none"/>
          <w:shd w:val="clear" w:color="auto" w:fill="FFFFFF"/>
        </w:rPr>
        <w:t>异议与投诉</w:t>
      </w:r>
    </w:p>
    <w:p>
      <w:pPr>
        <w:pStyle w:val="43"/>
        <w:keepNext w:val="0"/>
        <w:keepLines w:val="0"/>
        <w:pageBreakBefore w:val="0"/>
        <w:numPr>
          <w:ilvl w:val="0"/>
          <w:numId w:val="14"/>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szCs w:val="21"/>
          <w:u w:val="none"/>
          <w:shd w:val="clear" w:color="auto" w:fill="FFFFFF"/>
        </w:rPr>
      </w:pPr>
      <w:r>
        <w:rPr>
          <w:rStyle w:val="56"/>
          <w:rFonts w:hint="eastAsia" w:ascii="Times New Roman" w:hAnsi="Times New Roman" w:cs="Times New Roman"/>
          <w:color w:val="auto"/>
          <w:sz w:val="21"/>
          <w:szCs w:val="21"/>
          <w:u w:val="none"/>
          <w:shd w:val="clear" w:color="auto" w:fill="FFFFFF"/>
        </w:rPr>
        <w:t>供应商或者其他利害关系人对评审结果有异议的，应当在结果公示规定的期限内向采购人提出。异议的提出与处理按《长沙市轨道交</w:t>
      </w:r>
      <w:r>
        <w:rPr>
          <w:rStyle w:val="56"/>
          <w:rFonts w:hint="eastAsia" w:ascii="Times New Roman" w:hAnsi="Times New Roman" w:cs="Times New Roman"/>
          <w:color w:val="auto"/>
          <w:sz w:val="21"/>
          <w:szCs w:val="21"/>
          <w:highlight w:val="none"/>
          <w:u w:val="none"/>
          <w:shd w:val="clear" w:color="auto" w:fill="FFFFFF"/>
        </w:rPr>
        <w:t>通运营有限公司服务类采购</w:t>
      </w:r>
      <w:r>
        <w:rPr>
          <w:rStyle w:val="56"/>
          <w:rFonts w:hint="eastAsia" w:ascii="Times New Roman" w:hAnsi="Times New Roman" w:cs="Times New Roman"/>
          <w:color w:val="auto"/>
          <w:sz w:val="21"/>
          <w:szCs w:val="21"/>
          <w:highlight w:val="none"/>
          <w:u w:val="none"/>
          <w:shd w:val="clear" w:color="auto" w:fill="FFFFFF"/>
          <w:lang w:eastAsia="zh-CN"/>
        </w:rPr>
        <w:t>项目</w:t>
      </w:r>
      <w:r>
        <w:rPr>
          <w:rStyle w:val="56"/>
          <w:rFonts w:hint="eastAsia" w:ascii="Times New Roman" w:hAnsi="Times New Roman" w:cs="Times New Roman"/>
          <w:color w:val="auto"/>
          <w:sz w:val="21"/>
          <w:szCs w:val="21"/>
          <w:highlight w:val="none"/>
          <w:u w:val="none"/>
          <w:shd w:val="clear" w:color="auto" w:fill="FFFFFF"/>
        </w:rPr>
        <w:t>管理办法(</w:t>
      </w:r>
      <w:r>
        <w:rPr>
          <w:rStyle w:val="56"/>
          <w:rFonts w:hint="eastAsia" w:ascii="Times New Roman" w:hAnsi="Times New Roman" w:cs="Times New Roman"/>
          <w:color w:val="auto"/>
          <w:sz w:val="21"/>
          <w:szCs w:val="21"/>
          <w:u w:val="none"/>
          <w:shd w:val="clear" w:color="auto" w:fill="FFFFFF"/>
        </w:rPr>
        <w:t>试行）》执行。</w:t>
      </w:r>
    </w:p>
    <w:p>
      <w:pPr>
        <w:pStyle w:val="43"/>
        <w:keepNext w:val="0"/>
        <w:keepLines w:val="0"/>
        <w:pageBreakBefore w:val="0"/>
        <w:numPr>
          <w:ilvl w:val="0"/>
          <w:numId w:val="14"/>
        </w:numPr>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szCs w:val="21"/>
          <w:u w:val="none"/>
          <w:shd w:val="clear" w:color="auto" w:fill="FFFFFF"/>
        </w:rPr>
      </w:pPr>
      <w:r>
        <w:rPr>
          <w:rStyle w:val="56"/>
          <w:rFonts w:hint="eastAsia" w:ascii="Times New Roman" w:hAnsi="Times New Roman" w:cs="Times New Roman"/>
          <w:color w:val="auto"/>
          <w:sz w:val="21"/>
          <w:szCs w:val="21"/>
          <w:u w:val="none"/>
          <w:shd w:val="clear" w:color="auto" w:fill="FFFFFF"/>
        </w:rPr>
        <w:t>供应商或者其他利害关系人认为本次采购活动违反相关法律法规或规范性文件规定的，可以在知道或者应当知道之日起10日内向长沙市轨道交通运营有限公司监察审计部门投诉。</w:t>
      </w:r>
    </w:p>
    <w:p>
      <w:pPr>
        <w:pStyle w:val="43"/>
        <w:keepNext w:val="0"/>
        <w:keepLines w:val="0"/>
        <w:pageBreakBefore w:val="0"/>
        <w:numPr>
          <w:ilvl w:val="0"/>
          <w:numId w:val="6"/>
        </w:numPr>
        <w:shd w:val="clear" w:color="auto" w:fill="FFFFFF"/>
        <w:kinsoku/>
        <w:wordWrap/>
        <w:overflowPunct/>
        <w:topLinePunct w:val="0"/>
        <w:autoSpaceDE/>
        <w:autoSpaceDN/>
        <w:bidi w:val="0"/>
        <w:spacing w:before="0" w:beforeAutospacing="0" w:after="0" w:afterAutospacing="0" w:line="360" w:lineRule="auto"/>
        <w:ind w:left="0" w:leftChars="0" w:firstLine="422"/>
        <w:jc w:val="both"/>
        <w:textAlignment w:val="auto"/>
        <w:rPr>
          <w:rStyle w:val="56"/>
          <w:rFonts w:ascii="Times New Roman" w:hAnsi="Times New Roman" w:cs="Times New Roman"/>
          <w:b/>
          <w:bCs/>
          <w:color w:val="auto"/>
          <w:sz w:val="21"/>
          <w:u w:val="none"/>
          <w:shd w:val="clear" w:color="auto" w:fill="FFFFFF"/>
        </w:rPr>
      </w:pPr>
      <w:r>
        <w:rPr>
          <w:rStyle w:val="56"/>
          <w:rFonts w:ascii="Times New Roman" w:hAnsi="Times New Roman" w:cs="Times New Roman"/>
          <w:b/>
          <w:bCs/>
          <w:color w:val="auto"/>
          <w:sz w:val="21"/>
          <w:u w:val="none"/>
          <w:shd w:val="clear" w:color="auto" w:fill="FFFFFF"/>
        </w:rPr>
        <w:t>联系方式</w:t>
      </w:r>
    </w:p>
    <w:p>
      <w:pPr>
        <w:pStyle w:val="43"/>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hint="eastAsia" w:ascii="Times New Roman" w:hAnsi="Times New Roman" w:eastAsia="宋体" w:cs="Times New Roman"/>
          <w:color w:val="auto"/>
          <w:sz w:val="21"/>
          <w:u w:val="none"/>
          <w:shd w:val="clear" w:color="auto" w:fill="FFFFFF"/>
          <w:lang w:eastAsia="zh-CN"/>
        </w:rPr>
      </w:pPr>
      <w:r>
        <w:rPr>
          <w:rStyle w:val="56"/>
          <w:rFonts w:ascii="Times New Roman" w:hAnsi="Times New Roman" w:cs="Times New Roman"/>
          <w:color w:val="auto"/>
          <w:sz w:val="21"/>
          <w:u w:val="none"/>
          <w:shd w:val="clear" w:color="auto" w:fill="FFFFFF"/>
        </w:rPr>
        <w:t>采购人：</w:t>
      </w:r>
      <w:r>
        <w:rPr>
          <w:rStyle w:val="56"/>
          <w:rFonts w:hint="eastAsia" w:ascii="Times New Roman" w:hAnsi="Times New Roman" w:cs="Times New Roman"/>
          <w:color w:val="auto"/>
          <w:sz w:val="21"/>
          <w:u w:val="none"/>
          <w:shd w:val="clear" w:color="auto" w:fill="FFFFFF"/>
        </w:rPr>
        <w:t>长沙市轨道交通运营有限公司</w:t>
      </w:r>
      <w:r>
        <w:rPr>
          <w:rStyle w:val="56"/>
          <w:rFonts w:hint="eastAsia" w:ascii="Times New Roman" w:hAnsi="Times New Roman" w:cs="Times New Roman"/>
          <w:color w:val="auto"/>
          <w:sz w:val="21"/>
          <w:u w:val="none"/>
          <w:shd w:val="clear" w:color="auto" w:fill="FFFFFF"/>
          <w:lang w:eastAsia="zh-CN"/>
        </w:rPr>
        <w:t>、</w:t>
      </w:r>
      <w:r>
        <w:rPr>
          <w:rFonts w:hint="eastAsia" w:ascii="宋体" w:hAnsi="宋体" w:eastAsia="宋体" w:cs="宋体"/>
          <w:kern w:val="2"/>
          <w:sz w:val="21"/>
          <w:szCs w:val="24"/>
          <w:highlight w:val="none"/>
          <w:u w:val="none"/>
          <w:lang w:val="en-US" w:eastAsia="zh-CN" w:bidi="ar-SA"/>
        </w:rPr>
        <w:t>长沙市轨道交通四号线建设发展有限公司</w:t>
      </w:r>
    </w:p>
    <w:p>
      <w:pPr>
        <w:pStyle w:val="43"/>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highlight w:val="yellow"/>
          <w:u w:val="none"/>
          <w:shd w:val="clear" w:color="auto" w:fill="FFFFFF"/>
        </w:rPr>
      </w:pPr>
      <w:r>
        <w:rPr>
          <w:rStyle w:val="56"/>
          <w:rFonts w:ascii="Times New Roman" w:hAnsi="Times New Roman" w:cs="Times New Roman"/>
          <w:color w:val="auto"/>
          <w:sz w:val="21"/>
          <w:u w:val="none"/>
          <w:shd w:val="clear" w:color="auto" w:fill="FFFFFF"/>
        </w:rPr>
        <w:t>地</w:t>
      </w:r>
      <w:r>
        <w:rPr>
          <w:rStyle w:val="56"/>
          <w:rFonts w:hint="eastAsia" w:ascii="Times New Roman" w:hAnsi="Times New Roman" w:cs="Times New Roman"/>
          <w:color w:val="auto"/>
          <w:sz w:val="21"/>
          <w:u w:val="none"/>
          <w:shd w:val="clear" w:color="auto" w:fill="FFFFFF"/>
        </w:rPr>
        <w:t xml:space="preserve">  </w:t>
      </w:r>
      <w:r>
        <w:rPr>
          <w:rStyle w:val="56"/>
          <w:rFonts w:ascii="Times New Roman" w:hAnsi="Times New Roman" w:cs="Times New Roman"/>
          <w:color w:val="auto"/>
          <w:sz w:val="21"/>
          <w:u w:val="none"/>
          <w:shd w:val="clear" w:color="auto" w:fill="FFFFFF"/>
        </w:rPr>
        <w:t>址：</w:t>
      </w:r>
      <w:r>
        <w:rPr>
          <w:rStyle w:val="56"/>
          <w:rFonts w:hint="eastAsia" w:ascii="Times New Roman" w:hAnsi="Times New Roman" w:cs="Times New Roman"/>
          <w:color w:val="auto"/>
          <w:sz w:val="21"/>
          <w:u w:val="none"/>
          <w:shd w:val="clear" w:color="auto" w:fill="FFFFFF"/>
        </w:rPr>
        <w:t>湖南省</w:t>
      </w:r>
      <w:r>
        <w:rPr>
          <w:rStyle w:val="56"/>
          <w:rFonts w:ascii="Times New Roman" w:hAnsi="Times New Roman" w:cs="Times New Roman"/>
          <w:color w:val="auto"/>
          <w:sz w:val="21"/>
          <w:u w:val="none"/>
          <w:shd w:val="clear" w:color="auto" w:fill="FFFFFF"/>
        </w:rPr>
        <w:t>长沙市劳动东路二段48号黄兴车辆段</w:t>
      </w:r>
    </w:p>
    <w:p>
      <w:pPr>
        <w:pStyle w:val="43"/>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u w:val="none"/>
          <w:shd w:val="clear" w:color="auto" w:fill="FFFFFF"/>
        </w:rPr>
      </w:pPr>
      <w:r>
        <w:rPr>
          <w:rStyle w:val="56"/>
          <w:rFonts w:ascii="Times New Roman" w:hAnsi="Times New Roman" w:cs="Times New Roman"/>
          <w:color w:val="auto"/>
          <w:sz w:val="21"/>
          <w:u w:val="none"/>
          <w:shd w:val="clear" w:color="auto" w:fill="FFFFFF"/>
        </w:rPr>
        <w:t>联系人：</w:t>
      </w:r>
      <w:r>
        <w:rPr>
          <w:rStyle w:val="56"/>
          <w:rFonts w:hint="eastAsia" w:ascii="Times New Roman" w:hAnsi="Times New Roman" w:cs="Times New Roman"/>
          <w:color w:val="auto"/>
          <w:sz w:val="21"/>
          <w:u w:val="none"/>
          <w:shd w:val="clear" w:color="auto" w:fill="FFFFFF"/>
        </w:rPr>
        <w:t>杨工</w:t>
      </w:r>
    </w:p>
    <w:p>
      <w:pPr>
        <w:pStyle w:val="43"/>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left="0" w:leftChars="0" w:firstLine="420" w:firstLineChars="200"/>
        <w:jc w:val="both"/>
        <w:textAlignment w:val="auto"/>
        <w:rPr>
          <w:rStyle w:val="56"/>
          <w:rFonts w:ascii="Times New Roman" w:hAnsi="Times New Roman" w:cs="Times New Roman"/>
          <w:color w:val="auto"/>
          <w:sz w:val="21"/>
          <w:highlight w:val="none"/>
          <w:u w:val="none"/>
          <w:shd w:val="clear" w:color="auto" w:fill="FFFFFF"/>
        </w:rPr>
      </w:pPr>
      <w:r>
        <w:rPr>
          <w:rStyle w:val="56"/>
          <w:rFonts w:ascii="Times New Roman" w:hAnsi="Times New Roman" w:cs="Times New Roman"/>
          <w:color w:val="auto"/>
          <w:sz w:val="21"/>
          <w:u w:val="none"/>
          <w:shd w:val="clear" w:color="auto" w:fill="FFFFFF"/>
        </w:rPr>
        <w:t>电</w:t>
      </w:r>
      <w:r>
        <w:rPr>
          <w:rStyle w:val="56"/>
          <w:rFonts w:hint="eastAsia" w:ascii="Times New Roman" w:hAnsi="Times New Roman" w:cs="Times New Roman"/>
          <w:color w:val="auto"/>
          <w:sz w:val="21"/>
          <w:u w:val="none"/>
          <w:shd w:val="clear" w:color="auto" w:fill="FFFFFF"/>
        </w:rPr>
        <w:t xml:space="preserve">  </w:t>
      </w:r>
      <w:r>
        <w:rPr>
          <w:rStyle w:val="56"/>
          <w:rFonts w:ascii="Times New Roman" w:hAnsi="Times New Roman" w:cs="Times New Roman"/>
          <w:color w:val="auto"/>
          <w:sz w:val="21"/>
          <w:u w:val="none"/>
          <w:shd w:val="clear" w:color="auto" w:fill="FFFFFF"/>
        </w:rPr>
        <w:t>话：0731-</w:t>
      </w:r>
      <w:r>
        <w:rPr>
          <w:rStyle w:val="56"/>
          <w:rFonts w:hint="eastAsia" w:ascii="Times New Roman" w:hAnsi="Times New Roman" w:cs="Times New Roman"/>
          <w:color w:val="auto"/>
          <w:sz w:val="21"/>
          <w:u w:val="none"/>
          <w:shd w:val="clear" w:color="auto" w:fill="FFFFFF"/>
        </w:rPr>
        <w:t>86852347</w:t>
      </w:r>
    </w:p>
    <w:p>
      <w:pPr>
        <w:pStyle w:val="43"/>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left="0" w:leftChars="0"/>
        <w:jc w:val="right"/>
        <w:textAlignment w:val="auto"/>
        <w:rPr>
          <w:rFonts w:hint="eastAsia"/>
          <w:sz w:val="21"/>
          <w:szCs w:val="21"/>
          <w:highlight w:val="none"/>
        </w:rPr>
        <w:sectPr>
          <w:footerReference r:id="rId5" w:type="default"/>
          <w:pgSz w:w="11906" w:h="16838"/>
          <w:pgMar w:top="2098" w:right="1474" w:bottom="1984" w:left="1587" w:header="851" w:footer="992" w:gutter="0"/>
          <w:pgNumType w:fmt="decimal" w:start="1"/>
          <w:cols w:space="0" w:num="1"/>
          <w:docGrid w:type="lines" w:linePitch="319" w:charSpace="0"/>
        </w:sectPr>
      </w:pPr>
      <w:r>
        <w:rPr>
          <w:rFonts w:hint="eastAsia"/>
          <w:sz w:val="21"/>
          <w:szCs w:val="21"/>
          <w:highlight w:val="none"/>
        </w:rPr>
        <w:t>20</w:t>
      </w:r>
      <w:r>
        <w:rPr>
          <w:rFonts w:hint="eastAsia"/>
          <w:sz w:val="21"/>
          <w:szCs w:val="21"/>
          <w:highlight w:val="none"/>
          <w:lang w:val="en-US" w:eastAsia="zh-CN"/>
        </w:rPr>
        <w:t>23</w:t>
      </w:r>
      <w:r>
        <w:rPr>
          <w:rFonts w:hint="eastAsia"/>
          <w:sz w:val="21"/>
          <w:szCs w:val="21"/>
          <w:highlight w:val="none"/>
        </w:rPr>
        <w:t>年</w:t>
      </w:r>
      <w:r>
        <w:rPr>
          <w:rFonts w:hint="eastAsia"/>
          <w:sz w:val="21"/>
          <w:szCs w:val="21"/>
          <w:highlight w:val="none"/>
          <w:lang w:val="en-US" w:eastAsia="zh-CN"/>
        </w:rPr>
        <w:t>04</w:t>
      </w:r>
      <w:r>
        <w:rPr>
          <w:rFonts w:hint="eastAsia"/>
          <w:sz w:val="21"/>
          <w:szCs w:val="21"/>
          <w:highlight w:val="none"/>
        </w:rPr>
        <w:t>月</w:t>
      </w:r>
      <w:r>
        <w:rPr>
          <w:rFonts w:hint="eastAsia"/>
          <w:sz w:val="21"/>
          <w:szCs w:val="21"/>
          <w:highlight w:val="none"/>
          <w:lang w:val="en-US" w:eastAsia="zh-CN"/>
        </w:rPr>
        <w:t>06</w:t>
      </w:r>
      <w:r>
        <w:rPr>
          <w:rFonts w:hint="eastAsia"/>
          <w:sz w:val="21"/>
          <w:szCs w:val="21"/>
          <w:highlight w:val="none"/>
        </w:rPr>
        <w:t>日</w:t>
      </w:r>
    </w:p>
    <w:p>
      <w:pPr>
        <w:pStyle w:val="16"/>
        <w:ind w:left="0" w:leftChars="0" w:firstLine="0" w:firstLineChars="0"/>
        <w:rPr>
          <w:rFonts w:hint="default"/>
          <w:color w:val="auto"/>
          <w:highlight w:val="none"/>
          <w:lang w:val="en-US" w:eastAsia="zh-CN"/>
        </w:rPr>
      </w:pPr>
      <w:r>
        <w:rPr>
          <w:rFonts w:hint="eastAsia"/>
          <w:color w:val="auto"/>
          <w:highlight w:val="none"/>
          <w:lang w:val="en-US" w:eastAsia="zh-CN"/>
        </w:rPr>
        <w:t>附表：现场服务人员最低配备要求表</w:t>
      </w:r>
    </w:p>
    <w:tbl>
      <w:tblPr>
        <w:tblStyle w:val="47"/>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1760"/>
        <w:gridCol w:w="5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12" w:type="dxa"/>
            <w:gridSpan w:val="3"/>
            <w:shd w:val="clear" w:color="auto" w:fill="auto"/>
            <w:vAlign w:val="center"/>
          </w:tcPr>
          <w:p>
            <w:pPr>
              <w:pStyle w:val="16"/>
              <w:spacing w:line="360" w:lineRule="auto"/>
              <w:ind w:left="0" w:leftChars="0"/>
              <w:jc w:val="center"/>
              <w:rPr>
                <w:rFonts w:hint="eastAsia" w:ascii="宋体" w:hAnsi="宋体"/>
                <w:b/>
                <w:lang w:val="en-US" w:eastAsia="zh-CN"/>
              </w:rPr>
            </w:pPr>
            <w:r>
              <w:rPr>
                <w:rFonts w:hint="eastAsia" w:ascii="宋体" w:hAnsi="宋体" w:eastAsia="宋体" w:cs="仿宋_GB2312"/>
                <w:b/>
                <w:bCs/>
                <w:kern w:val="2"/>
                <w:sz w:val="24"/>
                <w:szCs w:val="21"/>
                <w:lang w:val="en-US" w:eastAsia="zh-CN" w:bidi="ar-SA"/>
              </w:rPr>
              <w:t>最低人员配备表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35" w:type="dxa"/>
            <w:shd w:val="clear" w:color="auto" w:fill="auto"/>
            <w:vAlign w:val="center"/>
          </w:tcPr>
          <w:p>
            <w:pPr>
              <w:pStyle w:val="16"/>
              <w:spacing w:line="360" w:lineRule="auto"/>
              <w:ind w:left="0" w:leftChars="0"/>
              <w:jc w:val="center"/>
              <w:rPr>
                <w:rFonts w:hint="default" w:ascii="宋体" w:hAnsi="宋体" w:eastAsia="宋体"/>
                <w:b/>
                <w:bCs/>
                <w:lang w:val="en-US" w:eastAsia="zh-CN"/>
              </w:rPr>
            </w:pPr>
            <w:r>
              <w:rPr>
                <w:rFonts w:hint="eastAsia" w:ascii="宋体" w:hAnsi="宋体" w:eastAsia="宋体" w:cs="仿宋_GB2312"/>
                <w:b/>
                <w:bCs/>
                <w:kern w:val="2"/>
                <w:sz w:val="24"/>
                <w:szCs w:val="21"/>
                <w:lang w:val="en-US" w:eastAsia="zh-CN" w:bidi="ar-SA"/>
              </w:rPr>
              <w:t>岗位名称</w:t>
            </w:r>
          </w:p>
        </w:tc>
        <w:tc>
          <w:tcPr>
            <w:tcW w:w="1760" w:type="dxa"/>
            <w:shd w:val="clear" w:color="auto" w:fill="auto"/>
            <w:vAlign w:val="center"/>
          </w:tcPr>
          <w:p>
            <w:pPr>
              <w:pStyle w:val="16"/>
              <w:spacing w:line="360" w:lineRule="auto"/>
              <w:ind w:left="0" w:leftChars="0"/>
              <w:jc w:val="center"/>
              <w:rPr>
                <w:rFonts w:hint="eastAsia" w:ascii="宋体" w:hAnsi="宋体"/>
                <w:b/>
                <w:bCs/>
                <w:lang w:val="en-US" w:eastAsia="zh-CN"/>
              </w:rPr>
            </w:pPr>
            <w:r>
              <w:rPr>
                <w:rFonts w:hint="eastAsia" w:ascii="宋体" w:hAnsi="宋体" w:eastAsia="宋体" w:cs="仿宋_GB2312"/>
                <w:b/>
                <w:bCs/>
                <w:kern w:val="2"/>
                <w:sz w:val="24"/>
                <w:szCs w:val="21"/>
                <w:lang w:val="en-US" w:eastAsia="zh-CN" w:bidi="ar-SA"/>
              </w:rPr>
              <w:t>最低配备数量</w:t>
            </w:r>
          </w:p>
        </w:tc>
        <w:tc>
          <w:tcPr>
            <w:tcW w:w="5617" w:type="dxa"/>
            <w:shd w:val="clear" w:color="auto" w:fill="auto"/>
            <w:vAlign w:val="center"/>
          </w:tcPr>
          <w:p>
            <w:pPr>
              <w:pStyle w:val="16"/>
              <w:spacing w:line="360" w:lineRule="auto"/>
              <w:ind w:left="0" w:leftChars="0"/>
              <w:jc w:val="center"/>
              <w:rPr>
                <w:rFonts w:hint="default" w:ascii="宋体" w:hAnsi="宋体" w:eastAsia="宋体"/>
                <w:b/>
                <w:lang w:val="en-US" w:eastAsia="zh-CN"/>
              </w:rPr>
            </w:pPr>
            <w:r>
              <w:rPr>
                <w:rFonts w:hint="eastAsia" w:ascii="宋体" w:hAnsi="宋体" w:eastAsia="宋体" w:cs="仿宋_GB2312"/>
                <w:b/>
                <w:bCs/>
                <w:kern w:val="2"/>
                <w:sz w:val="24"/>
                <w:szCs w:val="21"/>
                <w:lang w:val="en-US" w:eastAsia="zh-CN" w:bidi="ar-SA"/>
              </w:rPr>
              <w:t>配备要求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535" w:type="dxa"/>
            <w:shd w:val="clear" w:color="auto" w:fill="auto"/>
            <w:noWrap/>
            <w:vAlign w:val="center"/>
          </w:tcPr>
          <w:p>
            <w:pPr>
              <w:widowControl/>
              <w:jc w:val="center"/>
              <w:textAlignment w:val="center"/>
              <w:rPr>
                <w:rFonts w:hint="eastAsia" w:eastAsia="宋体" w:cs="宋体" w:asciiTheme="minorEastAsia" w:hAnsiTheme="minorEastAsia"/>
                <w:color w:val="000000"/>
                <w:kern w:val="0"/>
                <w:lang w:eastAsia="zh-CN"/>
              </w:rPr>
            </w:pPr>
            <w:r>
              <w:rPr>
                <w:rFonts w:hint="eastAsia" w:ascii="宋体" w:hAnsi="宋体" w:eastAsia="宋体" w:cs="宋体"/>
                <w:sz w:val="21"/>
                <w:szCs w:val="21"/>
                <w:highlight w:val="none"/>
                <w:lang w:eastAsia="zh-CN"/>
              </w:rPr>
              <w:t>项目负责人</w:t>
            </w:r>
          </w:p>
        </w:tc>
        <w:tc>
          <w:tcPr>
            <w:tcW w:w="1760" w:type="dxa"/>
            <w:shd w:val="clear" w:color="auto" w:fill="auto"/>
            <w:vAlign w:val="center"/>
          </w:tcPr>
          <w:p>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1人</w:t>
            </w:r>
          </w:p>
        </w:tc>
        <w:tc>
          <w:tcPr>
            <w:tcW w:w="5617" w:type="dxa"/>
            <w:shd w:val="clear" w:color="auto" w:fill="auto"/>
            <w:vAlign w:val="center"/>
          </w:tcPr>
          <w:p>
            <w:pPr>
              <w:widowControl/>
              <w:jc w:val="left"/>
              <w:textAlignment w:val="center"/>
              <w:rPr>
                <w:rFonts w:hint="eastAsia" w:ascii="宋体" w:hAnsi="宋体" w:eastAsia="宋体" w:cs="宋体"/>
                <w:kern w:val="2"/>
                <w:sz w:val="21"/>
                <w:szCs w:val="21"/>
                <w:u w:val="none"/>
                <w:lang w:val="en-US" w:eastAsia="zh-CN" w:bidi="ar-SA"/>
              </w:rPr>
            </w:pPr>
            <w:r>
              <w:rPr>
                <w:rFonts w:hint="default" w:ascii="宋体" w:hAnsi="宋体" w:eastAsia="宋体" w:cs="宋体"/>
                <w:sz w:val="21"/>
                <w:szCs w:val="21"/>
                <w:highlight w:val="none"/>
                <w:lang w:val="en-US" w:eastAsia="zh-CN"/>
              </w:rPr>
              <w:t>拟任项目负责人</w:t>
            </w:r>
            <w:r>
              <w:rPr>
                <w:rFonts w:hint="eastAsia" w:ascii="宋体" w:hAnsi="宋体" w:eastAsia="宋体" w:cs="宋体"/>
                <w:sz w:val="21"/>
                <w:szCs w:val="21"/>
                <w:highlight w:val="none"/>
                <w:lang w:val="en-US" w:eastAsia="zh-CN"/>
              </w:rPr>
              <w:t>在本项目谈判截止之日前36个月内须具有至少1项类似项目业绩，持有注册咨询师或注册监理工程师或注册设备监理师执业证书，且证书合格、有效。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35" w:type="dxa"/>
            <w:shd w:val="clear" w:color="auto" w:fill="auto"/>
            <w:noWrap/>
            <w:vAlign w:val="center"/>
          </w:tcPr>
          <w:p>
            <w:pPr>
              <w:widowControl/>
              <w:jc w:val="center"/>
              <w:textAlignment w:val="center"/>
              <w:rPr>
                <w:rFonts w:cs="宋体" w:asciiTheme="minorEastAsia" w:hAnsiTheme="minorEastAsia" w:eastAsiaTheme="minorEastAsia"/>
                <w:color w:val="000000"/>
                <w:kern w:val="0"/>
              </w:rPr>
            </w:pPr>
            <w:r>
              <w:rPr>
                <w:rFonts w:hint="eastAsia" w:ascii="宋体" w:hAnsi="宋体" w:eastAsia="宋体" w:cs="宋体"/>
                <w:sz w:val="21"/>
                <w:szCs w:val="21"/>
                <w:highlight w:val="none"/>
                <w:lang w:eastAsia="zh-CN"/>
              </w:rPr>
              <w:t>专业人员</w:t>
            </w:r>
          </w:p>
        </w:tc>
        <w:tc>
          <w:tcPr>
            <w:tcW w:w="1760" w:type="dxa"/>
            <w:shd w:val="clear" w:color="auto" w:fill="auto"/>
            <w:vAlign w:val="center"/>
          </w:tcPr>
          <w:p>
            <w:pPr>
              <w:widowControl/>
              <w:jc w:val="center"/>
              <w:textAlignment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eastAsia="zh-CN"/>
              </w:rPr>
              <w:t>人</w:t>
            </w:r>
          </w:p>
        </w:tc>
        <w:tc>
          <w:tcPr>
            <w:tcW w:w="5617" w:type="dxa"/>
            <w:shd w:val="clear" w:color="auto" w:fill="auto"/>
            <w:vAlign w:val="center"/>
          </w:tcPr>
          <w:p>
            <w:pPr>
              <w:widowControl/>
              <w:jc w:val="left"/>
              <w:textAlignment w:val="center"/>
              <w:rPr>
                <w:rFonts w:hint="eastAsia" w:ascii="宋体" w:hAnsi="宋体" w:eastAsia="宋体" w:cs="宋体"/>
                <w:kern w:val="2"/>
                <w:sz w:val="21"/>
                <w:szCs w:val="21"/>
                <w:u w:val="none"/>
                <w:lang w:val="en-US" w:eastAsia="zh-CN" w:bidi="ar-SA"/>
              </w:rPr>
            </w:pPr>
            <w:r>
              <w:rPr>
                <w:rFonts w:hint="eastAsia" w:ascii="宋体" w:hAnsi="宋体" w:cs="宋体"/>
                <w:sz w:val="21"/>
                <w:szCs w:val="21"/>
                <w:highlight w:val="none"/>
                <w:lang w:val="en-US" w:eastAsia="zh-CN"/>
              </w:rPr>
              <w:t>中级工程师（车辆方向）及以上</w:t>
            </w:r>
            <w:r>
              <w:rPr>
                <w:rFonts w:hint="eastAsia" w:ascii="宋体" w:hAnsi="宋体" w:eastAsia="宋体" w:cs="宋体"/>
                <w:sz w:val="21"/>
                <w:szCs w:val="21"/>
                <w:highlight w:val="none"/>
                <w:lang w:val="en-US" w:eastAsia="zh-CN"/>
              </w:rPr>
              <w:t>，且证书合格、有效</w:t>
            </w:r>
            <w:r>
              <w:rPr>
                <w:rFonts w:hint="eastAsia" w:ascii="宋体" w:hAnsi="宋体" w:cs="宋体"/>
                <w:sz w:val="21"/>
                <w:szCs w:val="21"/>
                <w:highlight w:val="none"/>
                <w:lang w:val="en-US" w:eastAsia="zh-CN"/>
              </w:rPr>
              <w:t>。</w:t>
            </w:r>
          </w:p>
        </w:tc>
      </w:tr>
    </w:tbl>
    <w:p>
      <w:pPr>
        <w:pStyle w:val="6"/>
        <w:keepNext w:val="0"/>
        <w:spacing w:after="240"/>
        <w:rPr>
          <w:rFonts w:hint="eastAsia" w:ascii="宋体" w:hAnsi="宋体" w:cs="宋体"/>
          <w:bCs w:val="0"/>
          <w:sz w:val="32"/>
          <w:szCs w:val="32"/>
        </w:rPr>
        <w:sectPr>
          <w:footerReference r:id="rId6" w:type="default"/>
          <w:pgSz w:w="11906" w:h="16838"/>
          <w:pgMar w:top="2098" w:right="1474" w:bottom="1984" w:left="1587" w:header="851" w:footer="992" w:gutter="0"/>
          <w:pgNumType w:fmt="decimal"/>
          <w:cols w:space="0" w:num="1"/>
          <w:docGrid w:type="lines" w:linePitch="319" w:charSpace="0"/>
        </w:sectPr>
      </w:pPr>
      <w:bookmarkStart w:id="6" w:name="_Toc6753"/>
      <w:bookmarkStart w:id="7" w:name="_Toc14891065"/>
      <w:bookmarkStart w:id="8" w:name="_Toc10483"/>
      <w:bookmarkStart w:id="9" w:name="_Toc8914"/>
      <w:bookmarkStart w:id="10" w:name="_Toc5145"/>
    </w:p>
    <w:p>
      <w:pPr>
        <w:pStyle w:val="6"/>
        <w:keepNext w:val="0"/>
        <w:spacing w:after="240"/>
        <w:rPr>
          <w:rFonts w:ascii="黑体" w:hAnsi="黑体" w:eastAsia="黑体"/>
          <w:bCs w:val="0"/>
          <w:sz w:val="32"/>
          <w:szCs w:val="32"/>
        </w:rPr>
      </w:pPr>
      <w:bookmarkStart w:id="11" w:name="_Toc13238"/>
      <w:r>
        <w:rPr>
          <w:rFonts w:hint="eastAsia" w:ascii="宋体" w:hAnsi="宋体" w:cs="宋体"/>
          <w:bCs w:val="0"/>
          <w:sz w:val="32"/>
          <w:szCs w:val="32"/>
        </w:rPr>
        <w:t>第二章  谈判须知</w:t>
      </w:r>
      <w:bookmarkEnd w:id="6"/>
      <w:bookmarkEnd w:id="7"/>
      <w:bookmarkEnd w:id="8"/>
      <w:bookmarkEnd w:id="9"/>
      <w:bookmarkEnd w:id="10"/>
      <w:bookmarkEnd w:id="11"/>
    </w:p>
    <w:p>
      <w:pPr>
        <w:pStyle w:val="7"/>
        <w:keepNext w:val="0"/>
        <w:keepLines w:val="0"/>
        <w:jc w:val="center"/>
        <w:rPr>
          <w:rFonts w:ascii="宋体" w:hAnsi="宋体" w:cs="宋体"/>
          <w:sz w:val="32"/>
        </w:rPr>
      </w:pPr>
      <w:bookmarkStart w:id="12" w:name="_Toc5430"/>
      <w:bookmarkStart w:id="13" w:name="_Toc9168"/>
      <w:bookmarkStart w:id="14" w:name="_Toc6617"/>
      <w:bookmarkStart w:id="15" w:name="_Toc9591"/>
      <w:bookmarkStart w:id="16" w:name="_Toc28089"/>
      <w:bookmarkStart w:id="17" w:name="_Toc14891066"/>
      <w:r>
        <w:rPr>
          <w:rFonts w:hint="eastAsia" w:ascii="宋体" w:hAnsi="宋体" w:cs="宋体"/>
          <w:sz w:val="32"/>
        </w:rPr>
        <w:t>谈判须知前附表</w:t>
      </w:r>
      <w:bookmarkEnd w:id="12"/>
      <w:bookmarkEnd w:id="13"/>
      <w:bookmarkEnd w:id="14"/>
      <w:bookmarkEnd w:id="15"/>
      <w:bookmarkEnd w:id="16"/>
      <w:bookmarkEnd w:id="17"/>
    </w:p>
    <w:tbl>
      <w:tblPr>
        <w:tblStyle w:val="47"/>
        <w:tblW w:w="95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4"/>
        <w:gridCol w:w="73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名  称</w:t>
            </w:r>
          </w:p>
        </w:tc>
        <w:tc>
          <w:tcPr>
            <w:tcW w:w="7338" w:type="dxa"/>
            <w:vAlign w:val="center"/>
          </w:tcPr>
          <w:p>
            <w:pPr>
              <w:adjustRightInd w:val="0"/>
              <w:snapToGrid w:val="0"/>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采购项目</w:t>
            </w:r>
          </w:p>
        </w:tc>
        <w:tc>
          <w:tcPr>
            <w:tcW w:w="7338" w:type="dxa"/>
            <w:vAlign w:val="center"/>
          </w:tcPr>
          <w:p>
            <w:pPr>
              <w:adjustRightInd w:val="0"/>
              <w:snapToGrid w:val="0"/>
              <w:jc w:val="left"/>
              <w:rPr>
                <w:rFonts w:ascii="宋体" w:hAnsi="宋体" w:cs="宋体"/>
                <w:szCs w:val="21"/>
              </w:rPr>
            </w:pPr>
            <w:r>
              <w:rPr>
                <w:rFonts w:hint="eastAsia" w:ascii="宋体" w:hAnsi="宋体" w:cs="宋体"/>
                <w:lang w:val="en-US" w:eastAsia="zh-CN"/>
              </w:rPr>
              <w:t>长沙市轨道交通2号线电客车首轮大修、4号线电客车首轮架修概算编制咨询服务项目（第二次）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234" w:type="dxa"/>
            <w:vAlign w:val="center"/>
          </w:tcPr>
          <w:p>
            <w:pPr>
              <w:adjustRightInd w:val="0"/>
              <w:snapToGrid w:val="0"/>
              <w:jc w:val="center"/>
              <w:rPr>
                <w:rFonts w:ascii="宋体" w:hAnsi="宋体" w:cs="宋体"/>
                <w:b/>
                <w:szCs w:val="21"/>
                <w:highlight w:val="none"/>
              </w:rPr>
            </w:pPr>
            <w:r>
              <w:rPr>
                <w:rFonts w:hint="eastAsia" w:ascii="宋体" w:hAnsi="宋体" w:cs="宋体"/>
                <w:b/>
                <w:szCs w:val="21"/>
                <w:highlight w:val="none"/>
              </w:rPr>
              <w:t>采购单位</w:t>
            </w:r>
          </w:p>
        </w:tc>
        <w:tc>
          <w:tcPr>
            <w:tcW w:w="7338" w:type="dxa"/>
            <w:vAlign w:val="center"/>
          </w:tcPr>
          <w:p>
            <w:pPr>
              <w:adjustRightInd w:val="0"/>
              <w:snapToGrid w:val="0"/>
              <w:jc w:val="left"/>
              <w:rPr>
                <w:rFonts w:ascii="宋体" w:hAnsi="宋体" w:cs="宋体"/>
                <w:iCs/>
                <w:szCs w:val="21"/>
              </w:rPr>
            </w:pPr>
            <w:r>
              <w:rPr>
                <w:rFonts w:hint="eastAsia" w:ascii="宋体" w:hAnsi="宋体" w:cs="宋体"/>
                <w:lang w:val="en-US" w:eastAsia="zh-CN"/>
              </w:rPr>
              <w:t>长沙市轨道交通运营有限公司、长沙市轨道交通四号线建设发展有限公司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2234" w:type="dxa"/>
            <w:vAlign w:val="center"/>
          </w:tcPr>
          <w:p>
            <w:pPr>
              <w:adjustRightInd w:val="0"/>
              <w:snapToGrid w:val="0"/>
              <w:jc w:val="center"/>
              <w:rPr>
                <w:rFonts w:ascii="宋体" w:hAnsi="宋体" w:cs="宋体"/>
                <w:b/>
                <w:color w:val="FF0000"/>
                <w:szCs w:val="21"/>
                <w:highlight w:val="none"/>
              </w:rPr>
            </w:pPr>
            <w:r>
              <w:rPr>
                <w:rFonts w:hint="eastAsia" w:ascii="宋体" w:hAnsi="宋体" w:cs="宋体"/>
                <w:b/>
                <w:szCs w:val="21"/>
                <w:highlight w:val="none"/>
              </w:rPr>
              <w:t>最高限价</w:t>
            </w:r>
          </w:p>
        </w:tc>
        <w:tc>
          <w:tcPr>
            <w:tcW w:w="7338" w:type="dxa"/>
            <w:vAlign w:val="center"/>
          </w:tcPr>
          <w:p>
            <w:pPr>
              <w:adjustRightInd w:val="0"/>
              <w:snapToGrid w:val="0"/>
              <w:jc w:val="left"/>
              <w:rPr>
                <w:rFonts w:ascii="宋体" w:hAnsi="宋体" w:cs="宋体"/>
                <w:iCs/>
                <w:color w:val="FF0000"/>
                <w:szCs w:val="21"/>
              </w:rPr>
            </w:pPr>
            <w:r>
              <w:rPr>
                <w:rFonts w:hint="eastAsia" w:ascii="宋体" w:hAnsi="宋体" w:cs="宋体"/>
                <w:szCs w:val="21"/>
                <w:lang w:val="en-US" w:eastAsia="zh-CN"/>
              </w:rPr>
              <w:t>208573.44</w:t>
            </w:r>
            <w:r>
              <w:rPr>
                <w:rFonts w:hint="eastAsia" w:ascii="宋体" w:hAnsi="宋体" w:cs="宋体"/>
                <w:szCs w:val="21"/>
              </w:rPr>
              <w:t>元，不超过最高限价的谈判总报价为有效报价。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评审办法</w:t>
            </w:r>
          </w:p>
        </w:tc>
        <w:tc>
          <w:tcPr>
            <w:tcW w:w="7338" w:type="dxa"/>
            <w:vAlign w:val="center"/>
          </w:tcPr>
          <w:p>
            <w:pPr>
              <w:adjustRightInd w:val="0"/>
              <w:snapToGrid w:val="0"/>
              <w:jc w:val="left"/>
              <w:rPr>
                <w:rFonts w:ascii="宋体" w:hAnsi="宋体" w:cs="宋体"/>
                <w:iCs/>
                <w:color w:val="FF0000"/>
                <w:szCs w:val="21"/>
              </w:rPr>
            </w:pPr>
            <w:r>
              <w:rPr>
                <w:rStyle w:val="56"/>
                <w:rFonts w:hint="eastAsia"/>
                <w:color w:val="auto"/>
                <w:kern w:val="0"/>
                <w:u w:val="none"/>
                <w:shd w:val="clear" w:color="auto" w:fill="FFFFFF"/>
              </w:rPr>
              <w:sym w:font="Wingdings 2" w:char="0052"/>
            </w:r>
            <w:r>
              <w:rPr>
                <w:rStyle w:val="56"/>
                <w:rFonts w:hint="eastAsia"/>
                <w:color w:val="auto"/>
                <w:kern w:val="0"/>
                <w:u w:val="none"/>
                <w:shd w:val="clear" w:color="auto" w:fill="FFFFFF"/>
              </w:rPr>
              <w:t xml:space="preserve">经符合性审查合格后的最低价法   </w:t>
            </w:r>
            <w:r>
              <w:rPr>
                <w:rStyle w:val="56"/>
                <w:rFonts w:hint="eastAsia"/>
                <w:color w:val="auto"/>
                <w:kern w:val="0"/>
                <w:u w:val="none"/>
                <w:shd w:val="clear" w:color="auto" w:fill="FFFFFF"/>
              </w:rPr>
              <w:sym w:font="Wingdings 2" w:char="00A3"/>
            </w:r>
            <w:r>
              <w:rPr>
                <w:rStyle w:val="56"/>
                <w:rFonts w:hint="eastAsia"/>
                <w:color w:val="auto"/>
                <w:kern w:val="0"/>
                <w:u w:val="none"/>
                <w:shd w:val="clear" w:color="auto" w:fill="FFFFFF"/>
              </w:rPr>
              <w:t>综合评估法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资格要求</w:t>
            </w:r>
          </w:p>
        </w:tc>
        <w:tc>
          <w:tcPr>
            <w:tcW w:w="7338" w:type="dxa"/>
            <w:vAlign w:val="center"/>
          </w:tcPr>
          <w:p>
            <w:pPr>
              <w:spacing w:line="360" w:lineRule="auto"/>
              <w:jc w:val="left"/>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1.谈判单位须为具有独立法人资格、自主经营、独立核算的公司或事业单位，须提供加盖谈判单位公章的营业执照（事业单位法人证书）复印件。</w:t>
            </w:r>
          </w:p>
          <w:p>
            <w:pPr>
              <w:spacing w:line="360" w:lineRule="auto"/>
              <w:jc w:val="left"/>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2.谈判单位须具有一项入围业绩，入围业绩是指在本项目谈判截止之日前36个月内须具有造价咨询业绩。不接受联合体业绩、港澳台或境外业绩。</w:t>
            </w:r>
          </w:p>
          <w:p>
            <w:pPr>
              <w:spacing w:line="360" w:lineRule="auto"/>
              <w:jc w:val="left"/>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业绩证明材料以同时提供的合同原件扫描件和可查验的增值税发票（开票金额不少于合同金额的10%）原件扫描件为准（均须加盖谈判单位公章），时间以合同中甲方签订时间为准。</w:t>
            </w:r>
          </w:p>
          <w:p>
            <w:pPr>
              <w:spacing w:line="360" w:lineRule="auto"/>
              <w:jc w:val="left"/>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3.谈判单位拟投入本项目的现场服务人员须满足最低配备要求，详见《最低人员配备表》。</w:t>
            </w:r>
          </w:p>
          <w:p>
            <w:pPr>
              <w:spacing w:line="360" w:lineRule="auto"/>
              <w:jc w:val="left"/>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4.本次采购不接受联合体。</w:t>
            </w:r>
          </w:p>
          <w:p>
            <w:pPr>
              <w:spacing w:line="360" w:lineRule="auto"/>
              <w:rPr>
                <w:rFonts w:ascii="宋体" w:hAnsi="宋体" w:cs="宋体"/>
                <w:color w:val="000000"/>
                <w:szCs w:val="21"/>
              </w:rPr>
            </w:pPr>
            <w:r>
              <w:rPr>
                <w:rFonts w:hint="eastAsia" w:ascii="宋体" w:hAnsi="宋体" w:cs="宋体"/>
                <w:color w:val="000000"/>
                <w:highlight w:val="none"/>
                <w:lang w:val="en-US" w:eastAsia="zh-CN"/>
              </w:rPr>
              <w:t>5.被长沙市轨道交通集团有限公司或长沙市轨道交通运营有限公司函告禁止在一定期限内参与投标的单位按函告内容执行。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谈判答疑文件</w:t>
            </w:r>
          </w:p>
          <w:p>
            <w:pPr>
              <w:adjustRightInd w:val="0"/>
              <w:snapToGrid w:val="0"/>
              <w:jc w:val="center"/>
              <w:rPr>
                <w:rFonts w:ascii="宋体" w:hAnsi="宋体" w:cs="宋体"/>
                <w:b/>
                <w:szCs w:val="21"/>
              </w:rPr>
            </w:pPr>
            <w:r>
              <w:rPr>
                <w:rFonts w:hint="eastAsia" w:ascii="宋体" w:hAnsi="宋体" w:cs="宋体"/>
                <w:b/>
                <w:szCs w:val="21"/>
              </w:rPr>
              <w:t>递交截止时间</w:t>
            </w:r>
          </w:p>
        </w:tc>
        <w:tc>
          <w:tcPr>
            <w:tcW w:w="7338" w:type="dxa"/>
            <w:vAlign w:val="center"/>
          </w:tcPr>
          <w:p>
            <w:pPr>
              <w:pStyle w:val="27"/>
              <w:adjustRightInd w:val="0"/>
              <w:snapToGrid w:val="0"/>
              <w:rPr>
                <w:rFonts w:hAnsi="宋体" w:cs="宋体"/>
                <w:color w:val="000000"/>
              </w:rPr>
            </w:pPr>
            <w:r>
              <w:rPr>
                <w:rStyle w:val="56"/>
                <w:rFonts w:hint="eastAsia" w:ascii="Times New Roman" w:hAnsi="Times New Roman" w:cs="Times New Roman"/>
                <w:color w:val="auto"/>
                <w:sz w:val="21"/>
                <w:highlight w:val="none"/>
                <w:u w:val="none"/>
                <w:shd w:val="clear" w:color="auto" w:fill="FFFFFF"/>
              </w:rPr>
              <w:t>20</w:t>
            </w:r>
            <w:r>
              <w:rPr>
                <w:rStyle w:val="56"/>
                <w:rFonts w:hint="eastAsia" w:ascii="Times New Roman" w:hAnsi="Times New Roman" w:cs="Times New Roman"/>
                <w:color w:val="auto"/>
                <w:sz w:val="21"/>
                <w:highlight w:val="none"/>
                <w:u w:val="none"/>
                <w:shd w:val="clear" w:color="auto" w:fill="FFFFFF"/>
                <w:lang w:val="en-US" w:eastAsia="zh-CN"/>
              </w:rPr>
              <w:t>23</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u w:val="none"/>
                <w:shd w:val="clear" w:color="auto" w:fill="FFFFFF"/>
                <w:lang w:val="en-US" w:eastAsia="zh-CN"/>
              </w:rPr>
              <w:t>04</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u w:val="none"/>
                <w:shd w:val="clear" w:color="auto" w:fill="FFFFFF"/>
                <w:lang w:val="en-US" w:eastAsia="zh-CN"/>
              </w:rPr>
              <w:t>14</w:t>
            </w:r>
            <w:r>
              <w:rPr>
                <w:rStyle w:val="56"/>
                <w:rFonts w:hint="eastAsia" w:ascii="Times New Roman" w:hAnsi="Times New Roman" w:cs="Times New Roman"/>
                <w:color w:val="auto"/>
                <w:sz w:val="21"/>
                <w:highlight w:val="none"/>
                <w:u w:val="none"/>
                <w:shd w:val="clear" w:color="auto" w:fill="FFFFFF"/>
              </w:rPr>
              <w:t>日</w:t>
            </w:r>
            <w:r>
              <w:rPr>
                <w:rFonts w:hint="eastAsia" w:hAnsi="宋体" w:cs="宋体"/>
                <w:highlight w:val="none"/>
                <w:lang w:val="en-US" w:eastAsia="zh-CN"/>
              </w:rPr>
              <w:t>17</w:t>
            </w:r>
            <w:r>
              <w:rPr>
                <w:rFonts w:hint="eastAsia" w:hAnsi="宋体" w:cs="宋体"/>
                <w:highlight w:val="none"/>
              </w:rPr>
              <w:t>时</w:t>
            </w:r>
            <w:r>
              <w:rPr>
                <w:rFonts w:hint="eastAsia" w:hAnsi="宋体" w:cs="宋体"/>
                <w:highlight w:val="none"/>
                <w:lang w:val="en-US" w:eastAsia="zh-CN"/>
              </w:rPr>
              <w:t>00</w:t>
            </w:r>
            <w:r>
              <w:rPr>
                <w:rFonts w:hint="eastAsia" w:hAnsi="宋体" w:cs="宋体"/>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谈判答疑文件</w:t>
            </w:r>
          </w:p>
          <w:p>
            <w:pPr>
              <w:adjustRightInd w:val="0"/>
              <w:snapToGrid w:val="0"/>
              <w:jc w:val="center"/>
              <w:rPr>
                <w:rFonts w:ascii="宋体" w:hAnsi="宋体" w:cs="宋体"/>
                <w:b/>
                <w:szCs w:val="21"/>
              </w:rPr>
            </w:pPr>
            <w:r>
              <w:rPr>
                <w:rFonts w:hint="eastAsia" w:ascii="宋体" w:hAnsi="宋体" w:cs="宋体"/>
                <w:b/>
                <w:szCs w:val="21"/>
              </w:rPr>
              <w:t>递交方式及地点</w:t>
            </w:r>
          </w:p>
        </w:tc>
        <w:tc>
          <w:tcPr>
            <w:tcW w:w="7338" w:type="dxa"/>
            <w:vAlign w:val="center"/>
          </w:tcPr>
          <w:p>
            <w:pPr>
              <w:pStyle w:val="27"/>
              <w:adjustRightInd w:val="0"/>
              <w:snapToGrid w:val="0"/>
              <w:rPr>
                <w:rFonts w:hAnsi="宋体" w:cs="宋体"/>
                <w:iCs/>
                <w:color w:val="FF0000"/>
              </w:rPr>
            </w:pPr>
            <w:r>
              <w:rPr>
                <w:rFonts w:hint="eastAsia" w:ascii="宋体" w:hAnsi="宋体" w:eastAsia="宋体" w:cs="宋体"/>
                <w:kern w:val="2"/>
                <w:sz w:val="21"/>
                <w:szCs w:val="21"/>
                <w:lang w:val="en-US" w:eastAsia="zh-CN" w:bidi="ar-SA"/>
              </w:rPr>
              <w:t>谈判答疑文件应以书面形式递交至长沙市劳动东路二段48号黄兴车辆段综合楼9楼910电子评标室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响应文件的递交</w:t>
            </w:r>
          </w:p>
          <w:p>
            <w:pPr>
              <w:adjustRightInd w:val="0"/>
              <w:snapToGrid w:val="0"/>
              <w:jc w:val="center"/>
              <w:rPr>
                <w:rFonts w:ascii="宋体" w:hAnsi="宋体" w:cs="宋体"/>
                <w:b/>
                <w:szCs w:val="21"/>
              </w:rPr>
            </w:pPr>
            <w:r>
              <w:rPr>
                <w:rFonts w:hint="eastAsia" w:ascii="宋体" w:hAnsi="宋体" w:cs="宋体"/>
                <w:b/>
                <w:szCs w:val="21"/>
              </w:rPr>
              <w:t>截止及谈判时间</w:t>
            </w:r>
          </w:p>
        </w:tc>
        <w:tc>
          <w:tcPr>
            <w:tcW w:w="7338" w:type="dxa"/>
            <w:vAlign w:val="center"/>
          </w:tcPr>
          <w:p>
            <w:pPr>
              <w:adjustRightInd w:val="0"/>
              <w:snapToGrid w:val="0"/>
              <w:jc w:val="left"/>
              <w:rPr>
                <w:rFonts w:ascii="宋体" w:hAnsi="宋体" w:cs="宋体"/>
                <w:szCs w:val="21"/>
              </w:rPr>
            </w:pPr>
            <w:bookmarkStart w:id="145" w:name="_GoBack"/>
            <w:r>
              <w:rPr>
                <w:rStyle w:val="56"/>
                <w:rFonts w:hint="eastAsia" w:ascii="Times New Roman" w:hAnsi="Times New Roman" w:cs="Times New Roman"/>
                <w:color w:val="auto"/>
                <w:sz w:val="21"/>
                <w:highlight w:val="none"/>
                <w:u w:val="none"/>
                <w:shd w:val="clear" w:color="auto" w:fill="FFFFFF"/>
              </w:rPr>
              <w:t>20</w:t>
            </w:r>
            <w:r>
              <w:rPr>
                <w:rStyle w:val="56"/>
                <w:rFonts w:hint="eastAsia" w:ascii="Times New Roman" w:hAnsi="Times New Roman" w:cs="Times New Roman"/>
                <w:color w:val="auto"/>
                <w:sz w:val="21"/>
                <w:highlight w:val="none"/>
                <w:u w:val="none"/>
                <w:shd w:val="clear" w:color="auto" w:fill="FFFFFF"/>
                <w:lang w:val="en-US" w:eastAsia="zh-CN"/>
              </w:rPr>
              <w:t>23</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u w:val="none"/>
                <w:shd w:val="clear" w:color="auto" w:fill="FFFFFF"/>
                <w:lang w:val="en-US" w:eastAsia="zh-CN"/>
              </w:rPr>
              <w:t>0</w:t>
            </w:r>
            <w:r>
              <w:rPr>
                <w:rStyle w:val="56"/>
                <w:rFonts w:hint="eastAsia" w:cs="Times New Roman"/>
                <w:color w:val="auto"/>
                <w:sz w:val="21"/>
                <w:highlight w:val="none"/>
                <w:u w:val="none"/>
                <w:shd w:val="clear" w:color="auto" w:fill="FFFFFF"/>
                <w:lang w:val="en-US" w:eastAsia="zh-CN"/>
              </w:rPr>
              <w:t>4</w:t>
            </w:r>
            <w:r>
              <w:rPr>
                <w:rStyle w:val="56"/>
                <w:rFonts w:hint="eastAsia" w:ascii="Times New Roman" w:hAnsi="Times New Roman" w:cs="Times New Roman"/>
                <w:color w:val="auto"/>
                <w:sz w:val="21"/>
                <w:highlight w:val="none"/>
                <w:u w:val="none"/>
                <w:shd w:val="clear" w:color="auto" w:fill="FFFFFF"/>
              </w:rPr>
              <w:t>月</w:t>
            </w:r>
            <w:r>
              <w:rPr>
                <w:rStyle w:val="56"/>
                <w:rFonts w:hint="eastAsia" w:cs="Times New Roman"/>
                <w:color w:val="auto"/>
                <w:sz w:val="21"/>
                <w:highlight w:val="none"/>
                <w:u w:val="none"/>
                <w:shd w:val="clear" w:color="auto" w:fill="FFFFFF"/>
                <w:lang w:val="en-US" w:eastAsia="zh-CN"/>
              </w:rPr>
              <w:t>20</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u w:val="none"/>
                <w:shd w:val="clear" w:color="auto" w:fill="FFFFFF"/>
                <w:lang w:val="en-US" w:eastAsia="zh-CN"/>
              </w:rPr>
              <w:t>10</w:t>
            </w:r>
            <w:bookmarkEnd w:id="145"/>
            <w:r>
              <w:rPr>
                <w:rStyle w:val="56"/>
                <w:rFonts w:hint="eastAsia" w:ascii="Times New Roman" w:hAnsi="Times New Roman" w:cs="Times New Roman"/>
                <w:color w:val="auto"/>
                <w:sz w:val="21"/>
                <w:highlight w:val="none"/>
                <w:u w:val="none"/>
                <w:shd w:val="clear" w:color="auto" w:fill="FFFFFF"/>
              </w:rPr>
              <w:t>时</w:t>
            </w:r>
            <w:r>
              <w:rPr>
                <w:rStyle w:val="56"/>
                <w:rFonts w:hint="eastAsia" w:ascii="Times New Roman" w:hAnsi="Times New Roman" w:cs="Times New Roman"/>
                <w:color w:val="auto"/>
                <w:sz w:val="21"/>
                <w:highlight w:val="none"/>
                <w:u w:val="none"/>
                <w:shd w:val="clear" w:color="auto" w:fill="FFFFFF"/>
                <w:lang w:val="en-US" w:eastAsia="zh-CN"/>
              </w:rPr>
              <w:t>30</w:t>
            </w:r>
            <w:r>
              <w:rPr>
                <w:rStyle w:val="56"/>
                <w:rFonts w:hint="eastAsia" w:ascii="Times New Roman" w:hAnsi="Times New Roman" w:cs="Times New Roman"/>
                <w:color w:val="auto"/>
                <w:sz w:val="21"/>
                <w:highlight w:val="none"/>
                <w:u w:val="none"/>
                <w:shd w:val="clear" w:color="auto" w:fill="FFFFFF"/>
              </w:rPr>
              <w:t>分</w:t>
            </w:r>
            <w:r>
              <w:rPr>
                <w:rFonts w:hint="eastAsia" w:ascii="宋体" w:hAnsi="宋体" w:cs="宋体"/>
                <w:szCs w:val="21"/>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响应文件的递交</w:t>
            </w:r>
          </w:p>
          <w:p>
            <w:pPr>
              <w:adjustRightInd w:val="0"/>
              <w:snapToGrid w:val="0"/>
              <w:jc w:val="center"/>
              <w:rPr>
                <w:rFonts w:ascii="宋体" w:hAnsi="宋体" w:cs="宋体"/>
                <w:b/>
                <w:szCs w:val="21"/>
              </w:rPr>
            </w:pPr>
            <w:r>
              <w:rPr>
                <w:rFonts w:hint="eastAsia" w:ascii="宋体" w:hAnsi="宋体" w:cs="宋体"/>
                <w:b/>
                <w:szCs w:val="21"/>
              </w:rPr>
              <w:t>及谈判地点</w:t>
            </w:r>
          </w:p>
        </w:tc>
        <w:tc>
          <w:tcPr>
            <w:tcW w:w="7338" w:type="dxa"/>
            <w:vAlign w:val="center"/>
          </w:tcPr>
          <w:p>
            <w:pPr>
              <w:adjustRightInd w:val="0"/>
              <w:snapToGrid w:val="0"/>
              <w:jc w:val="left"/>
              <w:rPr>
                <w:rFonts w:ascii="宋体" w:hAnsi="宋体" w:cs="宋体"/>
                <w:szCs w:val="21"/>
              </w:rPr>
            </w:pPr>
            <w:r>
              <w:rPr>
                <w:rFonts w:hint="eastAsia" w:ascii="宋体" w:hAnsi="宋体" w:cs="宋体"/>
                <w:bCs/>
                <w:color w:val="auto"/>
                <w:szCs w:val="21"/>
                <w:highlight w:val="none"/>
              </w:rPr>
              <w:t>长沙市劳动东路二段48号黄兴车辆段综合楼9楼910</w:t>
            </w:r>
            <w:r>
              <w:rPr>
                <w:rStyle w:val="56"/>
                <w:rFonts w:hint="eastAsia"/>
                <w:color w:val="auto"/>
                <w:highlight w:val="none"/>
                <w:u w:val="none"/>
                <w:shd w:val="clear" w:color="auto" w:fill="FFFFFF"/>
              </w:rPr>
              <w:t>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46" w:hRule="atLeast"/>
          <w:jc w:val="center"/>
        </w:trPr>
        <w:tc>
          <w:tcPr>
            <w:tcW w:w="2234" w:type="dxa"/>
            <w:vAlign w:val="center"/>
          </w:tcPr>
          <w:p>
            <w:pPr>
              <w:adjustRightInd w:val="0"/>
              <w:snapToGrid w:val="0"/>
              <w:jc w:val="center"/>
              <w:rPr>
                <w:rFonts w:ascii="宋体" w:hAnsi="宋体" w:cs="宋体"/>
                <w:b/>
                <w:szCs w:val="21"/>
                <w:highlight w:val="none"/>
              </w:rPr>
            </w:pPr>
            <w:r>
              <w:rPr>
                <w:rFonts w:hint="eastAsia" w:ascii="宋体" w:hAnsi="宋体" w:cs="宋体"/>
                <w:b/>
                <w:szCs w:val="21"/>
                <w:highlight w:val="none"/>
              </w:rPr>
              <w:t>谈判现场验证</w:t>
            </w:r>
          </w:p>
          <w:p>
            <w:pPr>
              <w:adjustRightInd w:val="0"/>
              <w:snapToGrid w:val="0"/>
              <w:jc w:val="center"/>
              <w:rPr>
                <w:rFonts w:ascii="宋体" w:hAnsi="宋体" w:cs="宋体"/>
                <w:b/>
                <w:szCs w:val="21"/>
                <w:highlight w:val="none"/>
              </w:rPr>
            </w:pPr>
            <w:r>
              <w:rPr>
                <w:rFonts w:hint="eastAsia" w:ascii="宋体" w:hAnsi="宋体" w:cs="宋体"/>
                <w:b/>
                <w:szCs w:val="21"/>
                <w:highlight w:val="none"/>
              </w:rPr>
              <w:t>须提交的资料</w:t>
            </w:r>
          </w:p>
        </w:tc>
        <w:tc>
          <w:tcPr>
            <w:tcW w:w="7338" w:type="dxa"/>
            <w:vAlign w:val="center"/>
          </w:tcPr>
          <w:p>
            <w:pPr>
              <w:adjustRightInd w:val="0"/>
              <w:snapToGrid w:val="0"/>
              <w:spacing w:line="360" w:lineRule="auto"/>
              <w:jc w:val="left"/>
              <w:rPr>
                <w:rFonts w:ascii="宋体" w:hAnsi="宋体" w:cs="宋体"/>
                <w:color w:val="FF0000"/>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（格式详见本文件第七章）</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第七章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234" w:type="dxa"/>
            <w:vAlign w:val="center"/>
          </w:tcPr>
          <w:p>
            <w:pPr>
              <w:adjustRightInd w:val="0"/>
              <w:snapToGrid w:val="0"/>
              <w:jc w:val="center"/>
              <w:rPr>
                <w:rFonts w:ascii="宋体" w:hAnsi="宋体" w:cs="宋体"/>
                <w:b/>
                <w:szCs w:val="21"/>
                <w:highlight w:val="none"/>
              </w:rPr>
            </w:pPr>
            <w:r>
              <w:rPr>
                <w:rFonts w:hint="eastAsia" w:ascii="宋体" w:hAnsi="宋体" w:cs="宋体"/>
                <w:b/>
                <w:szCs w:val="21"/>
                <w:highlight w:val="none"/>
              </w:rPr>
              <w:t>响应文件有效期</w:t>
            </w:r>
          </w:p>
        </w:tc>
        <w:tc>
          <w:tcPr>
            <w:tcW w:w="7338" w:type="dxa"/>
            <w:vAlign w:val="center"/>
          </w:tcPr>
          <w:p>
            <w:pPr>
              <w:adjustRightInd w:val="0"/>
              <w:snapToGrid w:val="0"/>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52"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响应文件份数及要求</w:t>
            </w:r>
          </w:p>
        </w:tc>
        <w:tc>
          <w:tcPr>
            <w:tcW w:w="7338" w:type="dxa"/>
            <w:vAlign w:val="center"/>
          </w:tcPr>
          <w:p>
            <w:pPr>
              <w:adjustRightInd w:val="0"/>
              <w:snapToGrid w:val="0"/>
              <w:spacing w:line="360" w:lineRule="auto"/>
              <w:rPr>
                <w:rFonts w:ascii="宋体" w:hAnsi="宋体" w:cs="宋体"/>
                <w:szCs w:val="21"/>
              </w:rPr>
            </w:pPr>
            <w:r>
              <w:rPr>
                <w:rFonts w:hint="eastAsia" w:ascii="宋体" w:hAnsi="宋体" w:cs="宋体"/>
                <w:szCs w:val="21"/>
              </w:rPr>
              <w:t>响应文件纸质文件一式三份（其中正本一份，副本二份），电子文件（U盘或光盘）一份。响应文件一正两副与电子文件一起密封包装。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35"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价格承包内容</w:t>
            </w:r>
          </w:p>
        </w:tc>
        <w:tc>
          <w:tcPr>
            <w:tcW w:w="7338" w:type="dxa"/>
            <w:vAlign w:val="center"/>
          </w:tcPr>
          <w:p>
            <w:pPr>
              <w:adjustRightInd w:val="0"/>
              <w:snapToGrid w:val="0"/>
              <w:spacing w:line="360" w:lineRule="auto"/>
              <w:jc w:val="left"/>
              <w:rPr>
                <w:rFonts w:ascii="宋体" w:hAnsi="宋体" w:cs="宋体"/>
                <w:szCs w:val="21"/>
                <w:highlight w:val="lightGray"/>
              </w:rPr>
            </w:pPr>
            <w:r>
              <w:rPr>
                <w:rFonts w:hint="eastAsia" w:ascii="宋体" w:hAnsi="宋体" w:eastAsia="宋体" w:cs="宋体"/>
                <w:kern w:val="2"/>
                <w:sz w:val="21"/>
                <w:szCs w:val="21"/>
                <w:lang w:val="en-US" w:eastAsia="zh-CN" w:bidi="ar-SA"/>
              </w:rPr>
              <w:t>合同价格形式：总价合同（除税率调整外，合同总价（即中标总价/中选总价/成交总价）在合同执行过程中固定不变，不随政府政策（长沙市规定的最低工资标准变化等）及市场物价上涨或回落等因素调整）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34" w:type="dxa"/>
            <w:vAlign w:val="center"/>
          </w:tcPr>
          <w:p>
            <w:pPr>
              <w:adjustRightInd w:val="0"/>
              <w:snapToGrid w:val="0"/>
              <w:jc w:val="center"/>
              <w:rPr>
                <w:rFonts w:ascii="宋体" w:hAnsi="宋体" w:cs="宋体"/>
                <w:b/>
                <w:color w:val="FF0000"/>
                <w:szCs w:val="21"/>
              </w:rPr>
            </w:pPr>
            <w:r>
              <w:rPr>
                <w:rFonts w:hint="eastAsia" w:ascii="宋体" w:hAnsi="宋体" w:cs="宋体"/>
                <w:b/>
                <w:szCs w:val="21"/>
              </w:rPr>
              <w:t>项目支付方式</w:t>
            </w:r>
          </w:p>
        </w:tc>
        <w:tc>
          <w:tcPr>
            <w:tcW w:w="7338" w:type="dxa"/>
            <w:vAlign w:val="center"/>
          </w:tcPr>
          <w:p>
            <w:pPr>
              <w:adjustRightInd w:val="0"/>
              <w:snapToGrid w:val="0"/>
              <w:spacing w:line="360" w:lineRule="auto"/>
              <w:jc w:val="left"/>
              <w:rPr>
                <w:rFonts w:ascii="宋体" w:hAnsi="宋体" w:cs="宋体"/>
                <w:szCs w:val="21"/>
                <w:highlight w:val="lightGray"/>
              </w:rPr>
            </w:pPr>
            <w:r>
              <w:rPr>
                <w:rFonts w:hint="eastAsia" w:ascii="宋体" w:hAnsi="宋体" w:eastAsia="宋体" w:cs="宋体"/>
                <w:kern w:val="2"/>
                <w:sz w:val="21"/>
                <w:szCs w:val="21"/>
                <w:lang w:val="en-US" w:eastAsia="zh-CN" w:bidi="ar-SA"/>
              </w:rPr>
              <w:t>一次支付：咨询工作成果通过相关职能部门批复且本项目履约验收合格后，支付至酬金的100%。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信息发布</w:t>
            </w:r>
          </w:p>
          <w:p>
            <w:pPr>
              <w:adjustRightInd w:val="0"/>
              <w:snapToGrid w:val="0"/>
              <w:jc w:val="center"/>
              <w:rPr>
                <w:rFonts w:ascii="宋体" w:hAnsi="宋体" w:cs="宋体"/>
                <w:b/>
                <w:szCs w:val="21"/>
              </w:rPr>
            </w:pPr>
            <w:r>
              <w:rPr>
                <w:rFonts w:hint="eastAsia" w:ascii="宋体" w:hAnsi="宋体" w:cs="宋体"/>
                <w:b/>
                <w:szCs w:val="21"/>
              </w:rPr>
              <w:t>指定媒体</w:t>
            </w:r>
          </w:p>
        </w:tc>
        <w:tc>
          <w:tcPr>
            <w:tcW w:w="7338" w:type="dxa"/>
            <w:vAlign w:val="center"/>
          </w:tcPr>
          <w:p>
            <w:pPr>
              <w:adjustRightInd w:val="0"/>
              <w:snapToGrid w:val="0"/>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6"/>
                <w:rFonts w:hint="eastAsia" w:ascii="宋体" w:hAnsi="宋体" w:cs="宋体"/>
                <w:color w:val="auto"/>
                <w:szCs w:val="21"/>
                <w:u w:val="none"/>
              </w:rPr>
              <w:t>http://www.hncsmtr.com/</w:t>
            </w:r>
            <w:r>
              <w:rPr>
                <w:rStyle w:val="56"/>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谈判保证金</w:t>
            </w:r>
          </w:p>
          <w:p>
            <w:pPr>
              <w:adjustRightInd w:val="0"/>
              <w:snapToGrid w:val="0"/>
              <w:jc w:val="center"/>
              <w:rPr>
                <w:rFonts w:ascii="宋体" w:hAnsi="宋体" w:cs="宋体"/>
                <w:b/>
                <w:szCs w:val="21"/>
              </w:rPr>
            </w:pPr>
            <w:r>
              <w:rPr>
                <w:rFonts w:hint="eastAsia" w:ascii="宋体" w:hAnsi="宋体" w:cs="宋体"/>
                <w:b/>
                <w:szCs w:val="21"/>
              </w:rPr>
              <w:t>提交渠道</w:t>
            </w:r>
          </w:p>
        </w:tc>
        <w:tc>
          <w:tcPr>
            <w:tcW w:w="7338" w:type="dxa"/>
            <w:vAlign w:val="center"/>
          </w:tcPr>
          <w:p>
            <w:pPr>
              <w:adjustRightInd w:val="0"/>
              <w:snapToGrid w:val="0"/>
              <w:rPr>
                <w:rFonts w:ascii="宋体" w:hAnsi="宋体" w:cs="宋体"/>
                <w:szCs w:val="21"/>
              </w:rPr>
            </w:pPr>
            <w:r>
              <w:rPr>
                <w:rFonts w:hint="eastAsia" w:ascii="宋体" w:hAnsi="宋体" w:cs="宋体"/>
                <w:szCs w:val="21"/>
              </w:rPr>
              <w:t>城轨采购网（网址：</w:t>
            </w:r>
            <w:r>
              <w:fldChar w:fldCharType="begin"/>
            </w:r>
            <w:r>
              <w:instrText xml:space="preserve"> HYPERLINK "http://www.mtrmart.com）注册参与并按要求提交投标保证金。本次投标保证金的金额为（人民币）" </w:instrText>
            </w:r>
            <w:r>
              <w:fldChar w:fldCharType="separate"/>
            </w:r>
            <w:r>
              <w:rPr>
                <w:rFonts w:hint="eastAsia" w:ascii="宋体" w:hAnsi="宋体" w:cs="宋体"/>
                <w:szCs w:val="21"/>
              </w:rPr>
              <w:t>www.mtrmart.com）</w:t>
            </w:r>
            <w:r>
              <w:rPr>
                <w:rFonts w:hint="eastAsia" w:ascii="宋体" w:hAnsi="宋体" w:cs="宋体"/>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2234" w:type="dxa"/>
            <w:vAlign w:val="center"/>
          </w:tcPr>
          <w:p>
            <w:pPr>
              <w:adjustRightInd w:val="0"/>
              <w:snapToGrid w:val="0"/>
              <w:jc w:val="center"/>
              <w:rPr>
                <w:rFonts w:ascii="宋体" w:hAnsi="宋体" w:cs="宋体"/>
                <w:b/>
                <w:bCs/>
                <w:szCs w:val="21"/>
              </w:rPr>
            </w:pPr>
            <w:r>
              <w:rPr>
                <w:rFonts w:hint="eastAsia" w:ascii="宋体" w:hAnsi="宋体" w:cs="宋体"/>
                <w:b/>
                <w:bCs/>
                <w:szCs w:val="21"/>
              </w:rPr>
              <w:t>自主竞争性谈判</w:t>
            </w:r>
          </w:p>
          <w:p>
            <w:pPr>
              <w:adjustRightInd w:val="0"/>
              <w:snapToGrid w:val="0"/>
              <w:jc w:val="center"/>
              <w:rPr>
                <w:rFonts w:ascii="宋体" w:hAnsi="宋体" w:cs="宋体"/>
                <w:b/>
                <w:szCs w:val="21"/>
              </w:rPr>
            </w:pPr>
            <w:r>
              <w:rPr>
                <w:rFonts w:hint="eastAsia" w:ascii="宋体" w:hAnsi="宋体" w:cs="宋体"/>
                <w:b/>
                <w:bCs/>
                <w:szCs w:val="21"/>
              </w:rPr>
              <w:t>文件的获取</w:t>
            </w:r>
          </w:p>
        </w:tc>
        <w:tc>
          <w:tcPr>
            <w:tcW w:w="7338" w:type="dxa"/>
            <w:vAlign w:val="center"/>
          </w:tcPr>
          <w:p>
            <w:pPr>
              <w:adjustRightInd w:val="0"/>
              <w:snapToGrid w:val="0"/>
              <w:rPr>
                <w:rFonts w:ascii="宋体" w:hAnsi="宋体" w:cs="宋体"/>
                <w:szCs w:val="21"/>
              </w:rPr>
            </w:pPr>
            <w:r>
              <w:rPr>
                <w:rFonts w:hint="eastAsia" w:ascii="宋体" w:hAnsi="宋体" w:cs="宋体"/>
                <w:szCs w:val="21"/>
              </w:rPr>
              <w:t>“信息发布指定媒体”中对应采购项目谈判邀请公告附件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234" w:type="dxa"/>
            <w:vAlign w:val="center"/>
          </w:tcPr>
          <w:p>
            <w:pPr>
              <w:adjustRightInd w:val="0"/>
              <w:snapToGrid w:val="0"/>
              <w:jc w:val="center"/>
              <w:rPr>
                <w:rFonts w:ascii="宋体" w:hAnsi="宋体" w:cs="宋体"/>
                <w:b/>
                <w:szCs w:val="21"/>
              </w:rPr>
            </w:pPr>
            <w:r>
              <w:rPr>
                <w:rFonts w:hint="eastAsia" w:ascii="宋体" w:hAnsi="宋体" w:cs="宋体"/>
                <w:b/>
                <w:szCs w:val="21"/>
              </w:rPr>
              <w:t>其他规定</w:t>
            </w:r>
          </w:p>
        </w:tc>
        <w:tc>
          <w:tcPr>
            <w:tcW w:w="7338" w:type="dxa"/>
            <w:vAlign w:val="center"/>
          </w:tcPr>
          <w:p>
            <w:pPr>
              <w:adjustRightInd w:val="0"/>
              <w:snapToGrid w:val="0"/>
              <w:rPr>
                <w:rFonts w:ascii="宋体" w:hAnsi="宋体" w:cs="宋体"/>
                <w:szCs w:val="21"/>
              </w:rPr>
            </w:pPr>
            <w:r>
              <w:rPr>
                <w:rFonts w:hint="eastAsia" w:ascii="宋体" w:hAnsi="宋体" w:cs="宋体"/>
                <w:szCs w:val="21"/>
              </w:rPr>
              <w:t>/</w:t>
            </w:r>
          </w:p>
        </w:tc>
      </w:tr>
    </w:tbl>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黑体" w:hAnsi="黑体" w:eastAsia="黑体"/>
          <w:sz w:val="30"/>
          <w:szCs w:val="30"/>
        </w:rPr>
      </w:pPr>
      <w:bookmarkStart w:id="18" w:name="_Toc14891067"/>
    </w:p>
    <w:p>
      <w:pPr>
        <w:widowControl/>
        <w:jc w:val="left"/>
      </w:pPr>
      <w:r>
        <w:br w:type="page"/>
      </w:r>
    </w:p>
    <w:p>
      <w:pPr>
        <w:pStyle w:val="7"/>
        <w:keepNext w:val="0"/>
        <w:keepLines w:val="0"/>
        <w:pageBreakBefore w:val="0"/>
        <w:widowControl w:val="0"/>
        <w:kinsoku/>
        <w:wordWrap/>
        <w:overflowPunct/>
        <w:topLinePunct w:val="0"/>
        <w:autoSpaceDE/>
        <w:autoSpaceDN/>
        <w:bidi w:val="0"/>
        <w:jc w:val="center"/>
        <w:textAlignment w:val="auto"/>
        <w:rPr>
          <w:rFonts w:ascii="宋体" w:hAnsi="宋体" w:cs="宋体"/>
          <w:sz w:val="32"/>
        </w:rPr>
      </w:pPr>
      <w:bookmarkStart w:id="19" w:name="_Toc31558"/>
      <w:bookmarkStart w:id="20" w:name="_Toc30640"/>
      <w:bookmarkStart w:id="21" w:name="_Toc17298"/>
      <w:bookmarkStart w:id="22" w:name="_Toc16939"/>
      <w:bookmarkStart w:id="23" w:name="_Toc26157"/>
      <w:bookmarkStart w:id="24" w:name="_Hlk71364110"/>
      <w:r>
        <w:rPr>
          <w:rFonts w:hint="eastAsia" w:ascii="宋体" w:hAnsi="宋体" w:cs="宋体"/>
          <w:sz w:val="32"/>
        </w:rPr>
        <w:t>谈判须知正文</w:t>
      </w:r>
      <w:bookmarkEnd w:id="18"/>
      <w:bookmarkEnd w:id="19"/>
      <w:bookmarkEnd w:id="20"/>
      <w:bookmarkEnd w:id="21"/>
      <w:bookmarkEnd w:id="22"/>
      <w:bookmarkEnd w:id="23"/>
    </w:p>
    <w:bookmarkEnd w:id="24"/>
    <w:p>
      <w:pPr>
        <w:pStyle w:val="7"/>
        <w:keepNext w:val="0"/>
        <w:keepLines w:val="0"/>
        <w:pageBreakBefore w:val="0"/>
        <w:widowControl w:val="0"/>
        <w:kinsoku/>
        <w:wordWrap/>
        <w:overflowPunct/>
        <w:topLinePunct w:val="0"/>
        <w:autoSpaceDE/>
        <w:autoSpaceDN/>
        <w:bidi w:val="0"/>
        <w:textAlignment w:val="auto"/>
        <w:rPr>
          <w:rFonts w:ascii="宋体" w:hAnsi="宋体" w:cs="宋体"/>
          <w:sz w:val="21"/>
          <w:szCs w:val="21"/>
        </w:rPr>
      </w:pPr>
      <w:bookmarkStart w:id="25" w:name="_Toc11440"/>
      <w:bookmarkStart w:id="26" w:name="_Toc14891068"/>
      <w:bookmarkStart w:id="27" w:name="_Toc2826"/>
      <w:r>
        <w:rPr>
          <w:rFonts w:hint="eastAsia" w:ascii="宋体" w:hAnsi="宋体" w:cs="宋体"/>
          <w:sz w:val="21"/>
          <w:szCs w:val="21"/>
        </w:rPr>
        <w:t>一、说明</w:t>
      </w:r>
      <w:bookmarkEnd w:id="25"/>
      <w:bookmarkEnd w:id="26"/>
      <w:bookmarkEnd w:id="27"/>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szCs w:val="21"/>
        </w:rPr>
      </w:pPr>
      <w:r>
        <w:rPr>
          <w:rFonts w:hint="eastAsia" w:ascii="宋体" w:hAnsi="宋体" w:cs="宋体"/>
          <w:b/>
          <w:bCs/>
          <w:szCs w:val="21"/>
        </w:rPr>
        <w:t>1.</w:t>
      </w:r>
      <w:r>
        <w:rPr>
          <w:rFonts w:hint="eastAsia" w:ascii="宋体" w:hAnsi="宋体" w:cs="宋体"/>
          <w:b/>
          <w:szCs w:val="21"/>
        </w:rPr>
        <w:t>本《自主竞争性谈判文件》（以下简称“谈判文件”）仅适用于谈判须知前附表(以下简称前附表)中所叙述的采购项目。</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szCs w:val="21"/>
        </w:rPr>
      </w:pPr>
      <w:r>
        <w:rPr>
          <w:rFonts w:hint="eastAsia" w:ascii="宋体" w:hAnsi="宋体" w:cs="宋体"/>
          <w:b/>
          <w:szCs w:val="21"/>
        </w:rPr>
        <w:t>2.本谈判文件的解释权属于长沙市轨道交通运营有限公司。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3.定义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szCs w:val="21"/>
        </w:rPr>
      </w:pPr>
      <w:r>
        <w:rPr>
          <w:rFonts w:hint="eastAsia" w:ascii="宋体" w:hAnsi="宋体" w:cs="宋体"/>
          <w:szCs w:val="21"/>
        </w:rPr>
        <w:t>3.1“采购单位”是指依法进行采购的法人组织。本项目的采购单位名称见</w:t>
      </w:r>
      <w:r>
        <w:rPr>
          <w:rFonts w:hint="eastAsia" w:ascii="宋体" w:hAnsi="宋体" w:cs="宋体"/>
          <w:b/>
          <w:szCs w:val="21"/>
        </w:rPr>
        <w:t>前附表</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3.2“谈判单位”是指响应本谈判文件要求、参加谈判的法人组织。</w:t>
      </w:r>
      <w:r>
        <w:rPr>
          <w:rFonts w:hint="eastAsia" w:ascii="宋体" w:hAnsi="宋体"/>
          <w:szCs w:val="21"/>
        </w:rPr>
        <w:t>参与本项目的谈判单位</w:t>
      </w:r>
      <w:r>
        <w:rPr>
          <w:rFonts w:hint="eastAsia" w:hAnsi="宋体"/>
        </w:rPr>
        <w:t>应按</w:t>
      </w:r>
      <w:r>
        <w:rPr>
          <w:rFonts w:hint="eastAsia" w:hAnsi="宋体"/>
          <w:b/>
        </w:rPr>
        <w:t>前附表</w:t>
      </w:r>
      <w:r>
        <w:rPr>
          <w:rFonts w:hint="eastAsia" w:hAnsi="宋体"/>
        </w:rPr>
        <w:t>规定的要求获取谈判文件。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3</w:t>
      </w:r>
      <w:r>
        <w:rPr>
          <w:rFonts w:hint="eastAsia" w:ascii="宋体" w:hAnsi="宋体" w:cs="宋体"/>
          <w:szCs w:val="21"/>
        </w:rPr>
        <w:t>“谈判</w:t>
      </w:r>
      <w:r>
        <w:rPr>
          <w:rFonts w:hint="eastAsia" w:ascii="宋体" w:hAnsi="宋体" w:cs="宋体"/>
          <w:bCs/>
          <w:szCs w:val="21"/>
        </w:rPr>
        <w:t>评审</w:t>
      </w:r>
      <w:r>
        <w:rPr>
          <w:rFonts w:hint="eastAsia" w:ascii="宋体" w:hAnsi="宋体" w:cs="宋体"/>
          <w:szCs w:val="21"/>
        </w:rPr>
        <w:t>小组”是指采购单位按其规定组建，依法依规履行其职责和义务的机构。</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4.谈判单位资格要求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4.1参与谈判的单位应当符合</w:t>
      </w:r>
      <w:r>
        <w:rPr>
          <w:rFonts w:hint="eastAsia" w:ascii="宋体" w:hAnsi="宋体" w:cs="宋体"/>
          <w:b/>
          <w:szCs w:val="21"/>
        </w:rPr>
        <w:t>前附表</w:t>
      </w:r>
      <w:r>
        <w:rPr>
          <w:rFonts w:hint="eastAsia" w:ascii="宋体" w:hAnsi="宋体" w:cs="宋体"/>
          <w:szCs w:val="21"/>
        </w:rPr>
        <w:t>中规定的资格要求；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4.2参与谈判的单位存在下列情形之一的，其</w:t>
      </w:r>
      <w:r>
        <w:rPr>
          <w:rFonts w:hint="eastAsia" w:ascii="宋体" w:hAnsi="宋体" w:cs="宋体"/>
          <w:bCs/>
          <w:szCs w:val="21"/>
        </w:rPr>
        <w:t>谈判</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（1）</w:t>
      </w:r>
      <w:r>
        <w:rPr>
          <w:rFonts w:hint="eastAsia" w:hAnsi="宋体" w:cs="宋体"/>
          <w:sz w:val="21"/>
          <w:szCs w:val="21"/>
          <w:highlight w:val="none"/>
        </w:rPr>
        <w:t>与采购单位存</w:t>
      </w:r>
      <w:r>
        <w:rPr>
          <w:rFonts w:hint="eastAsia" w:hAnsi="宋体" w:cs="宋体"/>
          <w:sz w:val="21"/>
          <w:szCs w:val="21"/>
        </w:rPr>
        <w:t>在利害关系且可能影响采购公正性；</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（3）与本采购项目的其他谈判单位存在控股、管理关系；</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（4）被责令停产停业、暂扣或者吊销许可证、暂扣或者吊销执照；</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（5）进入破产、清算、注销程序，或存在其他可能丧失履约能力的情形；</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（6）在国家企业信用信息公示系统中显示已被列入严重违法失信企业名单；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（7）在“信用中国”网站（www.creditchina.gov.cn）或“信用湖南”网站（www.credithunan.gov.cn）中显示已被列入失信被执行人名单。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（8）不同谈判单位的谈判保证金从同一账户转出的情形。</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5.参与谈判的费用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5.1无论谈判的结果如何，谈判单位应自行承担所有与本次竞争性谈判活动有关的全部费用。</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Ansi="宋体" w:cs="宋体"/>
          <w:b/>
          <w:bCs/>
        </w:rPr>
      </w:pPr>
      <w:r>
        <w:rPr>
          <w:rFonts w:hint="eastAsia" w:hAnsi="宋体" w:cs="宋体"/>
          <w:b/>
        </w:rPr>
        <w:t>6．</w:t>
      </w:r>
      <w:r>
        <w:rPr>
          <w:rFonts w:hint="eastAsia" w:hAnsi="宋体"/>
          <w:b/>
          <w:bCs/>
        </w:rPr>
        <w:t>谈判现场验证资料</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6.1谈判单位代表为谈判单位法定代表人的：应提供法定代表人身份证明书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b/>
          <w:strike/>
        </w:rPr>
      </w:pPr>
      <w:r>
        <w:rPr>
          <w:rFonts w:hint="eastAsia" w:hAnsi="宋体" w:cs="宋体"/>
        </w:rPr>
        <w:t>6.2谈判单位代表不是谈判单位法定代表人的：应提供授权委托书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7"/>
        <w:keepNext w:val="0"/>
        <w:keepLines w:val="0"/>
        <w:pageBreakBefore w:val="0"/>
        <w:widowControl w:val="0"/>
        <w:kinsoku/>
        <w:wordWrap/>
        <w:overflowPunct/>
        <w:topLinePunct w:val="0"/>
        <w:autoSpaceDE/>
        <w:autoSpaceDN/>
        <w:bidi w:val="0"/>
        <w:textAlignment w:val="auto"/>
        <w:rPr>
          <w:rFonts w:ascii="宋体" w:hAnsi="宋体" w:cs="宋体"/>
          <w:sz w:val="21"/>
          <w:szCs w:val="21"/>
        </w:rPr>
      </w:pPr>
      <w:bookmarkStart w:id="28" w:name="_Toc7066"/>
      <w:bookmarkStart w:id="29" w:name="_Toc303"/>
      <w:bookmarkStart w:id="30" w:name="_Toc14891069"/>
      <w:r>
        <w:rPr>
          <w:rFonts w:hint="eastAsia" w:ascii="宋体" w:hAnsi="宋体" w:cs="宋体"/>
          <w:sz w:val="21"/>
          <w:szCs w:val="21"/>
        </w:rPr>
        <w:t>二、谈判文件</w:t>
      </w:r>
      <w:bookmarkEnd w:id="28"/>
      <w:bookmarkEnd w:id="29"/>
      <w:bookmarkEnd w:id="30"/>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7．谈判文件的组成</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7.1谈判文件由下列文件组成：</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第一章 谈判邀请公告</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第二章 谈判须知</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第三章 评审办法及标准</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第四章 用户需求书（另册）</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highlight w:val="none"/>
        </w:rPr>
      </w:pPr>
      <w:r>
        <w:rPr>
          <w:rFonts w:hint="eastAsia" w:hAnsi="宋体" w:cs="宋体"/>
          <w:highlight w:val="none"/>
        </w:rPr>
        <w:t xml:space="preserve">第五章 </w:t>
      </w:r>
      <w:r>
        <w:rPr>
          <w:rFonts w:hint="eastAsia" w:hAnsi="宋体" w:cs="宋体"/>
        </w:rPr>
        <w:t>谈判最高限价</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第六章 合同格式条款</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第七章 响应文件组成</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7.2</w:t>
      </w:r>
      <w:r>
        <w:rPr>
          <w:rFonts w:hint="eastAsia" w:hAnsi="宋体" w:cs="宋体"/>
          <w:kern w:val="0"/>
        </w:rPr>
        <w:t>响应文件递交截止时间前对谈判文件澄清或者修改内容，均为谈判文件的组成部分。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7.3谈判单位应仔细阅读</w:t>
      </w:r>
      <w:r>
        <w:rPr>
          <w:rFonts w:hint="eastAsia" w:ascii="宋体" w:hAnsi="宋体" w:cs="宋体"/>
          <w:bCs/>
          <w:szCs w:val="21"/>
        </w:rPr>
        <w:t>谈判</w:t>
      </w:r>
      <w:r>
        <w:rPr>
          <w:rFonts w:hint="eastAsia" w:ascii="宋体" w:hAnsi="宋体" w:cs="宋体"/>
          <w:szCs w:val="21"/>
        </w:rPr>
        <w:t>文件的全部内容，按照</w:t>
      </w:r>
      <w:r>
        <w:rPr>
          <w:rFonts w:hint="eastAsia" w:ascii="宋体" w:hAnsi="宋体" w:cs="宋体"/>
          <w:bCs/>
          <w:szCs w:val="21"/>
        </w:rPr>
        <w:t>谈判</w:t>
      </w:r>
      <w:r>
        <w:rPr>
          <w:rFonts w:hint="eastAsia" w:ascii="宋体" w:hAnsi="宋体" w:cs="宋体"/>
          <w:szCs w:val="21"/>
        </w:rPr>
        <w:t>文件要求编制响应文件。任何对</w:t>
      </w:r>
      <w:r>
        <w:rPr>
          <w:rFonts w:hint="eastAsia" w:ascii="宋体" w:hAnsi="宋体" w:cs="宋体"/>
          <w:bCs/>
          <w:szCs w:val="21"/>
        </w:rPr>
        <w:t>谈判</w:t>
      </w:r>
      <w:r>
        <w:rPr>
          <w:rFonts w:hint="eastAsia" w:ascii="宋体" w:hAnsi="宋体" w:cs="宋体"/>
          <w:szCs w:val="21"/>
        </w:rPr>
        <w:t>文件的忽略或误解不能作为响应文件存在缺陷或瑕疵的理由，其风险由谈判单位承担。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谈判文件的澄清及答疑</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iCs/>
          <w:szCs w:val="21"/>
        </w:rPr>
      </w:pPr>
      <w:r>
        <w:rPr>
          <w:rFonts w:hint="eastAsia" w:ascii="宋体" w:hAnsi="宋体" w:cs="宋体"/>
          <w:iCs/>
          <w:szCs w:val="21"/>
        </w:rPr>
        <w:t>8.1.谈判单位应仔细阅读和检查谈判文件的全部内容，如有疑问，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highlight w:val="none"/>
        </w:rPr>
        <w:t>向采购</w:t>
      </w:r>
      <w:r>
        <w:rPr>
          <w:rFonts w:hint="eastAsia" w:ascii="宋体" w:hAnsi="宋体" w:cs="宋体"/>
          <w:iCs/>
          <w:szCs w:val="21"/>
          <w:highlight w:val="none"/>
          <w:lang w:eastAsia="zh-CN"/>
        </w:rPr>
        <w:t>单位</w:t>
      </w:r>
      <w:r>
        <w:rPr>
          <w:rFonts w:hint="eastAsia" w:ascii="宋体" w:hAnsi="宋体" w:cs="宋体"/>
          <w:iCs/>
          <w:szCs w:val="21"/>
          <w:highlight w:val="none"/>
        </w:rPr>
        <w:t>提</w:t>
      </w:r>
      <w:r>
        <w:rPr>
          <w:rFonts w:hint="eastAsia" w:ascii="宋体" w:hAnsi="宋体" w:cs="宋体"/>
          <w:iCs/>
          <w:szCs w:val="21"/>
        </w:rPr>
        <w:t>出，</w:t>
      </w:r>
      <w:r>
        <w:rPr>
          <w:rFonts w:hint="eastAsia" w:ascii="宋体" w:hAnsi="宋体" w:cs="宋体"/>
          <w:szCs w:val="21"/>
        </w:rPr>
        <w:t>否则，由此引起的损失由谈判单位自己承担。</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iCs/>
          <w:szCs w:val="21"/>
        </w:rPr>
      </w:pPr>
      <w:r>
        <w:rPr>
          <w:rFonts w:hint="eastAsia" w:ascii="宋体" w:hAnsi="宋体" w:cs="宋体"/>
          <w:iCs/>
          <w:szCs w:val="21"/>
        </w:rPr>
        <w:t>8.2.在谈判截止时间前，采购单位可主动地或在解答谈判单位提出的问题时对谈判文件进行澄清或修改。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w:t>
      </w:r>
      <w:r>
        <w:rPr>
          <w:rFonts w:hint="eastAsia" w:ascii="宋体" w:hAnsi="宋体" w:cs="宋体"/>
          <w:kern w:val="0"/>
          <w:szCs w:val="21"/>
          <w:highlight w:val="none"/>
        </w:rPr>
        <w:t>采购单位应</w:t>
      </w:r>
      <w:r>
        <w:rPr>
          <w:rFonts w:hint="eastAsia" w:ascii="宋体" w:hAnsi="宋体" w:cs="宋体"/>
          <w:kern w:val="0"/>
          <w:szCs w:val="21"/>
        </w:rPr>
        <w:t>当在提交响应文件截止之日3个工作日前，在长沙市轨道交通集团有限公司官网（http://www.hncsmtr.com/）发布澄清或答疑文件及顺延谈判时间，敬请获得谈判文件的所有谈判单位关注，恕不另行通知，如有遗漏采购单位不负任何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响应文件递交截止时间、谈判会议时间及地点</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9.1谈判单位递交响应文件截止时间、谈判会议时间及地点见</w:t>
      </w:r>
      <w:r>
        <w:rPr>
          <w:rFonts w:hint="eastAsia" w:hAnsi="宋体" w:cs="宋体"/>
          <w:b/>
          <w:bCs/>
        </w:rPr>
        <w:t>前附表</w:t>
      </w:r>
      <w:r>
        <w:rPr>
          <w:rFonts w:hint="eastAsia" w:hAnsi="宋体" w:cs="宋体"/>
        </w:rPr>
        <w:t>。</w:t>
      </w:r>
    </w:p>
    <w:p>
      <w:pPr>
        <w:pStyle w:val="7"/>
        <w:keepNext w:val="0"/>
        <w:keepLines w:val="0"/>
        <w:pageBreakBefore w:val="0"/>
        <w:widowControl w:val="0"/>
        <w:kinsoku/>
        <w:wordWrap/>
        <w:overflowPunct/>
        <w:topLinePunct w:val="0"/>
        <w:autoSpaceDE/>
        <w:autoSpaceDN/>
        <w:bidi w:val="0"/>
        <w:textAlignment w:val="auto"/>
        <w:rPr>
          <w:rFonts w:ascii="宋体" w:hAnsi="宋体" w:cs="宋体"/>
          <w:sz w:val="21"/>
          <w:szCs w:val="21"/>
        </w:rPr>
      </w:pPr>
      <w:bookmarkStart w:id="31" w:name="_Toc25456"/>
      <w:bookmarkStart w:id="32" w:name="_Toc14891070"/>
      <w:bookmarkStart w:id="33" w:name="_Toc9387"/>
      <w:r>
        <w:rPr>
          <w:rFonts w:hint="eastAsia" w:ascii="宋体" w:hAnsi="宋体" w:cs="宋体"/>
          <w:sz w:val="21"/>
          <w:szCs w:val="21"/>
        </w:rPr>
        <w:t>三、响应文件</w:t>
      </w:r>
      <w:bookmarkEnd w:id="31"/>
      <w:bookmarkEnd w:id="32"/>
      <w:bookmarkEnd w:id="33"/>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10.一般要求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szCs w:val="21"/>
        </w:rPr>
      </w:pPr>
      <w:r>
        <w:rPr>
          <w:rFonts w:hint="eastAsia" w:ascii="宋体" w:hAnsi="宋体" w:cs="宋体"/>
          <w:bCs/>
          <w:szCs w:val="21"/>
        </w:rPr>
        <w:t>10.1</w:t>
      </w:r>
      <w:bookmarkStart w:id="34" w:name="_Hlk68706641"/>
      <w:r>
        <w:rPr>
          <w:rFonts w:hint="eastAsia" w:ascii="宋体" w:hAnsi="宋体" w:cs="宋体"/>
          <w:bCs/>
          <w:szCs w:val="21"/>
        </w:rPr>
        <w:t>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bookmarkEnd w:id="34"/>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szCs w:val="21"/>
        </w:rPr>
      </w:pPr>
      <w:r>
        <w:rPr>
          <w:rFonts w:hint="eastAsia" w:ascii="宋体" w:hAnsi="宋体" w:cs="宋体"/>
          <w:bCs/>
          <w:szCs w:val="21"/>
        </w:rPr>
        <w:t>10.2</w:t>
      </w:r>
      <w:r>
        <w:rPr>
          <w:rFonts w:hint="eastAsia" w:ascii="宋体" w:hAnsi="宋体" w:cs="宋体"/>
          <w:szCs w:val="21"/>
        </w:rPr>
        <w:t>谈判单位提交的响应文件、谈判单位与采购单位的所有来往函电均使用中文。</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10.4响应文件应采用书面形式，电报、传真、电子邮件形式的响应文件概不接受。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10.5谈判单位提交的响应文件应按谈判文件中提供的响应文件格式编制。</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11.1响应文件应包括下列内容：</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（1）谈判承诺书</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（2）法定代表人身份证明书</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（3）授权委托书</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（4）谈判单位资格条件证明文件</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（5）服务方案</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hAnsi="宋体" w:cs="宋体"/>
          <w:highlight w:val="none"/>
        </w:rPr>
      </w:pPr>
      <w:r>
        <w:rPr>
          <w:rFonts w:hint="eastAsia" w:hAnsi="宋体" w:cs="宋体"/>
          <w:highlight w:val="none"/>
        </w:rPr>
        <w:t>（6）报价一览表</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hAnsi="宋体" w:eastAsia="宋体" w:cs="宋体"/>
          <w:highlight w:val="none"/>
          <w:lang w:val="en-US" w:eastAsia="zh-CN"/>
        </w:rPr>
      </w:pPr>
      <w:r>
        <w:rPr>
          <w:rFonts w:hint="eastAsia" w:hAnsi="宋体" w:cs="宋体"/>
          <w:highlight w:val="none"/>
          <w:lang w:eastAsia="zh-CN"/>
        </w:rPr>
        <w:t>（</w:t>
      </w:r>
      <w:r>
        <w:rPr>
          <w:rFonts w:hint="eastAsia" w:hAnsi="宋体" w:cs="宋体"/>
          <w:highlight w:val="none"/>
          <w:lang w:val="en-US" w:eastAsia="zh-CN"/>
        </w:rPr>
        <w:t>7</w:t>
      </w:r>
      <w:r>
        <w:rPr>
          <w:rFonts w:hint="eastAsia" w:hAnsi="宋体" w:cs="宋体"/>
          <w:highlight w:val="none"/>
          <w:lang w:eastAsia="zh-CN"/>
        </w:rPr>
        <w:t>）</w:t>
      </w:r>
      <w:r>
        <w:rPr>
          <w:rFonts w:hint="eastAsia" w:hAnsi="宋体" w:cs="宋体"/>
          <w:highlight w:val="none"/>
          <w:lang w:val="en-US" w:eastAsia="zh-CN"/>
        </w:rPr>
        <w:t>分项价格表</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w:t>
      </w:r>
      <w:r>
        <w:rPr>
          <w:rFonts w:hint="eastAsia" w:hAnsi="宋体" w:cs="宋体"/>
          <w:lang w:val="en-US" w:eastAsia="zh-CN"/>
        </w:rPr>
        <w:t>8</w:t>
      </w:r>
      <w:r>
        <w:rPr>
          <w:rFonts w:hint="eastAsia" w:hAnsi="宋体" w:cs="宋体"/>
        </w:rPr>
        <w:t>）其他资料（如有）</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11.2在谈判过程中，谈判单位根据</w:t>
      </w:r>
      <w:r>
        <w:rPr>
          <w:rFonts w:hint="eastAsia" w:hAnsi="宋体" w:cs="宋体"/>
          <w:kern w:val="0"/>
        </w:rPr>
        <w:t>谈判评审小组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11.3谈判单位无论成交与否，其递交的响应文件均不予退还。</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12.报价要求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12.1</w:t>
      </w:r>
      <w:r>
        <w:rPr>
          <w:rFonts w:hint="eastAsia" w:ascii="宋体" w:hAnsi="宋体" w:cs="宋体"/>
          <w:b/>
          <w:bCs/>
          <w:szCs w:val="21"/>
        </w:rPr>
        <w:t>本项目为一轮报价。</w:t>
      </w:r>
      <w:r>
        <w:rPr>
          <w:rFonts w:hint="eastAsia" w:ascii="宋体" w:hAnsi="宋体" w:cs="宋体"/>
          <w:szCs w:val="21"/>
        </w:rPr>
        <w:t>谈判单位应按第七章“响应文件格式”的要求在报价文件中进行报价。谈判单位所报的总价不得超过最高限价，不超过最高限价的谈判总报价为有效报价，谈判时需明确税费，税率必须符合国家政策法规规定，合同支付时服务单位需开具经</w:t>
      </w:r>
      <w:r>
        <w:rPr>
          <w:rFonts w:hint="eastAsia" w:ascii="宋体" w:hAnsi="宋体" w:cs="宋体"/>
          <w:b/>
          <w:szCs w:val="21"/>
        </w:rPr>
        <w:t>采购单位</w:t>
      </w:r>
      <w:r>
        <w:rPr>
          <w:rFonts w:hint="eastAsia" w:ascii="宋体" w:hAnsi="宋体" w:cs="宋体"/>
          <w:szCs w:val="21"/>
        </w:rPr>
        <w:t>认可的合法完税单据。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12.2本项目以不含增值税总价进行评审。谈判单位报价须满足“谈判不含增值税总报价=谈判总报价/（1+增值税税率）”和“不含增值税单价=含税单价/（1+增值税税率）”，否则视为无效报价。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12.3谈判单位应充分了解该项目的总体情况以及影响谈判报价的其他要素。</w:t>
      </w:r>
      <w:r>
        <w:rPr>
          <w:rFonts w:hint="eastAsia" w:ascii="宋体" w:hAnsi="宋体" w:cs="宋体"/>
          <w:b/>
          <w:szCs w:val="21"/>
        </w:rPr>
        <w:t>最终结算以长沙市轨道交通运营有限公司审核为准。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12.4谈判总报价为各分项报价金额之和，谈判总报价与分项报价的合价不一致的，应以各分项合价累计数为准，修正谈判总报价；如分项报价中存在缺漏项，则视为缺漏项价格已包含在其他分项报价之中。</w:t>
      </w:r>
      <w:r>
        <w:rPr>
          <w:rFonts w:hAnsi="宋体"/>
          <w:color w:val="000000" w:themeColor="text1"/>
          <w:szCs w:val="21"/>
          <w14:textFill>
            <w14:solidFill>
              <w14:schemeClr w14:val="tx1"/>
            </w14:solidFill>
          </w14:textFill>
        </w:rPr>
        <w:t>如分项报价中存在直接填写为零的情况，则视为其价格已包含在其他分项报价之中。</w:t>
      </w:r>
      <w:r>
        <w:rPr>
          <w:rFonts w:hint="eastAsia" w:ascii="宋体" w:hAnsi="宋体" w:cs="宋体"/>
          <w:szCs w:val="21"/>
        </w:rPr>
        <w:t>谈判单位在谈判截止时间前修改响应文件中的谈判总报价，应同时修改报价文件《报价一览表》和《分项价格表》中的相应报价。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12.5本项目设置最高限价，谈判单位所报</w:t>
      </w:r>
      <w:r>
        <w:rPr>
          <w:rFonts w:hint="eastAsia" w:ascii="宋体" w:hAnsi="宋体" w:cs="宋体"/>
          <w:b/>
          <w:bCs/>
          <w:szCs w:val="21"/>
          <w:highlight w:val="none"/>
        </w:rPr>
        <w:t>含税总价</w:t>
      </w:r>
      <w:r>
        <w:rPr>
          <w:rFonts w:hint="eastAsia" w:ascii="宋体" w:hAnsi="宋体" w:cs="宋体"/>
          <w:b/>
          <w:bCs/>
          <w:szCs w:val="21"/>
        </w:rPr>
        <w:t>不能超过最高限价，不超过最高限价的报价为有效报价</w:t>
      </w:r>
      <w:r>
        <w:rPr>
          <w:rFonts w:hint="eastAsia" w:ascii="宋体" w:hAnsi="宋体" w:cs="宋体"/>
          <w:szCs w:val="21"/>
        </w:rPr>
        <w:t>。本项目最高限价见</w:t>
      </w:r>
      <w:r>
        <w:rPr>
          <w:rFonts w:hint="eastAsia" w:ascii="宋体" w:hAnsi="宋体" w:cs="宋体"/>
          <w:b/>
          <w:szCs w:val="21"/>
        </w:rPr>
        <w:t>前附表</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12.6谈判单位应按谈判文件规定的要求、责任范围和合同条件，</w:t>
      </w:r>
      <w:r>
        <w:rPr>
          <w:rFonts w:hint="eastAsia" w:ascii="宋体" w:hAnsi="宋体" w:cs="宋体"/>
          <w:b/>
          <w:bCs/>
          <w:szCs w:val="21"/>
        </w:rPr>
        <w:t>以人民币报价，以元为单位，保留小数点后两位</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12.7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被拒绝。</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12.8谈判单位递交两份或多份内容不同的报价文件，或在一份报价文件中对同一项目报有两个或多个报价，且未声明哪一个有效的，将被认为是非实质响应被拒绝。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FF0000"/>
          <w:szCs w:val="21"/>
        </w:rPr>
      </w:pPr>
      <w:r>
        <w:rPr>
          <w:rFonts w:hint="eastAsia" w:ascii="宋体" w:hAnsi="宋体" w:cs="宋体"/>
          <w:bCs/>
          <w:szCs w:val="21"/>
        </w:rPr>
        <w:t>12.9最低报价不能作为中选的保证。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bCs/>
          <w:szCs w:val="21"/>
          <w:highlight w:val="none"/>
          <w:lang w:val="en-US"/>
        </w:rPr>
      </w:pPr>
      <w:r>
        <w:rPr>
          <w:rFonts w:hint="eastAsia" w:ascii="宋体" w:hAnsi="宋体" w:cs="宋体"/>
          <w:bCs/>
          <w:szCs w:val="21"/>
          <w:highlight w:val="none"/>
        </w:rPr>
        <w:t>12.10本项目为</w:t>
      </w:r>
      <w:r>
        <w:rPr>
          <w:rFonts w:hint="eastAsia" w:ascii="宋体" w:hAnsi="宋体" w:eastAsia="宋体" w:cs="宋体"/>
          <w:kern w:val="2"/>
          <w:sz w:val="21"/>
          <w:szCs w:val="21"/>
          <w:highlight w:val="none"/>
          <w:lang w:val="en-US" w:eastAsia="zh-CN" w:bidi="ar-SA"/>
        </w:rPr>
        <w:t>总价合同[除税率调整外，合同总价（即中标总价/中选总价/成交总价）在合同执行过程中固定不变，不随政府政策（长沙市规定的最低工资标准变化等）及市场物价上涨或回落等因素调整]</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13.响应文件有效期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，在此期间响应文件对谈判单位具有法律约束力，从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14.响应文件的编制</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14.1响应文件应按</w:t>
      </w:r>
      <w:r>
        <w:rPr>
          <w:rFonts w:hint="eastAsia" w:hAnsi="宋体" w:cs="宋体"/>
          <w:b/>
          <w:bCs/>
          <w:sz w:val="21"/>
          <w:szCs w:val="21"/>
        </w:rPr>
        <w:t>第七章</w:t>
      </w:r>
      <w:r>
        <w:rPr>
          <w:rFonts w:hint="eastAsia" w:hAnsi="宋体" w:cs="宋体"/>
          <w:sz w:val="21"/>
          <w:szCs w:val="21"/>
        </w:rPr>
        <w:t>“响应文件格式”进行编写，如有必要，可以增加附页，作为响应文件的组成部分。</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14.2响应文件应用不褪色的材料书写或打印（建议双面打印），并按</w:t>
      </w:r>
      <w:r>
        <w:rPr>
          <w:rFonts w:hint="eastAsia" w:hAnsi="宋体" w:cs="宋体"/>
          <w:b/>
          <w:bCs/>
        </w:rPr>
        <w:t>第七章</w:t>
      </w:r>
      <w:r>
        <w:rPr>
          <w:rFonts w:hint="eastAsia" w:hAnsi="宋体" w:cs="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rPr>
        <w:t>第七章</w:t>
      </w:r>
      <w:r>
        <w:rPr>
          <w:rFonts w:hint="eastAsia" w:hAnsi="宋体" w:cs="宋体"/>
        </w:rPr>
        <w:t>“响应文件格式”的要求。</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14.3响应文件应尽量避免涂改、行间插字或删除。如果出现上述情况，改动之处应由谈判单位的法定代表人或其授权的代理人签字或盖单位公章。</w:t>
      </w: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的字样，若响应文件副本为正本的复印件，还需在谈判文件要求盖章处加盖单位公章。当正本和副本有差异时，以正本为准。</w:t>
      </w:r>
    </w:p>
    <w:p>
      <w:pPr>
        <w:pStyle w:val="7"/>
        <w:keepNext w:val="0"/>
        <w:keepLines w:val="0"/>
        <w:pageBreakBefore w:val="0"/>
        <w:widowControl w:val="0"/>
        <w:kinsoku/>
        <w:wordWrap/>
        <w:overflowPunct/>
        <w:topLinePunct w:val="0"/>
        <w:autoSpaceDE/>
        <w:autoSpaceDN/>
        <w:bidi w:val="0"/>
        <w:textAlignment w:val="auto"/>
        <w:rPr>
          <w:rFonts w:ascii="宋体" w:hAnsi="宋体" w:cs="宋体"/>
          <w:sz w:val="21"/>
          <w:szCs w:val="21"/>
        </w:rPr>
      </w:pPr>
      <w:bookmarkStart w:id="35" w:name="_Toc21518"/>
      <w:bookmarkStart w:id="36" w:name="_Toc1468"/>
      <w:bookmarkStart w:id="37" w:name="_Toc14891071"/>
      <w:r>
        <w:rPr>
          <w:rFonts w:hint="eastAsia" w:ascii="宋体" w:hAnsi="宋体" w:cs="宋体"/>
          <w:sz w:val="21"/>
          <w:szCs w:val="21"/>
        </w:rPr>
        <w:t>四、响应文件的递交</w:t>
      </w:r>
      <w:bookmarkEnd w:id="35"/>
      <w:bookmarkEnd w:id="36"/>
      <w:bookmarkEnd w:id="37"/>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bCs/>
          <w:szCs w:val="21"/>
        </w:rPr>
      </w:pPr>
      <w:r>
        <w:rPr>
          <w:rFonts w:hint="eastAsia" w:ascii="宋体" w:hAnsi="宋体" w:cs="宋体"/>
          <w:szCs w:val="21"/>
        </w:rPr>
        <w:t>15.1谈判单位须将响应文件一正两副与电子文件一起密封包装。</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16.响应文件的标记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7"/>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szCs w:val="21"/>
                <w:u w:val="single"/>
              </w:rPr>
            </w:pPr>
            <w:r>
              <w:rPr>
                <w:rFonts w:hint="eastAsia" w:ascii="宋体" w:hAnsi="宋体" w:cs="宋体"/>
                <w:szCs w:val="21"/>
              </w:rPr>
              <w:t>采购单位：</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谈判单位：</w:t>
            </w:r>
            <w:r>
              <w:rPr>
                <w:rFonts w:hint="eastAsia" w:ascii="宋体" w:hAnsi="宋体" w:cs="宋体"/>
                <w:szCs w:val="21"/>
                <w:u w:val="single"/>
              </w:rPr>
              <w:t xml:space="preserve">（填写单位名称并加盖单位公章）         </w:t>
            </w:r>
          </w:p>
          <w:p>
            <w:pPr>
              <w:spacing w:line="360" w:lineRule="auto"/>
              <w:ind w:firstLine="840" w:firstLineChars="400"/>
              <w:rPr>
                <w:rFonts w:ascii="宋体" w:hAnsi="宋体" w:cs="宋体"/>
                <w:szCs w:val="21"/>
              </w:rPr>
            </w:pP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i/>
                <w:iCs/>
                <w:szCs w:val="21"/>
                <w:u w:val="single"/>
              </w:rPr>
              <w:t xml:space="preserve">    </w:t>
            </w:r>
            <w:r>
              <w:rPr>
                <w:rFonts w:hint="eastAsia" w:ascii="宋体" w:hAnsi="宋体"/>
                <w:bCs/>
                <w:szCs w:val="21"/>
              </w:rPr>
              <w:t>日</w:t>
            </w:r>
          </w:p>
        </w:tc>
      </w:tr>
    </w:tbl>
    <w:p>
      <w:pPr>
        <w:adjustRightInd w:val="0"/>
        <w:snapToGrid w:val="0"/>
        <w:spacing w:line="360" w:lineRule="auto"/>
        <w:ind w:firstLine="413" w:firstLineChars="196"/>
        <w:rPr>
          <w:rFonts w:ascii="宋体" w:hAnsi="宋体" w:cs="宋体"/>
          <w:b/>
          <w:bCs/>
          <w:color w:val="FF0000"/>
          <w:szCs w:val="21"/>
        </w:rPr>
      </w:pP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17.响应文件的递交与接收</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kern w:val="0"/>
          <w:szCs w:val="21"/>
        </w:rPr>
      </w:pPr>
      <w:r>
        <w:rPr>
          <w:rFonts w:hint="eastAsia" w:ascii="宋体" w:hAnsi="宋体" w:cs="宋体"/>
          <w:szCs w:val="21"/>
        </w:rPr>
        <w:t>17.1谈判单位应按要求在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w:t>
      </w:r>
      <w:r>
        <w:rPr>
          <w:rFonts w:hint="eastAsia" w:hAnsi="宋体" w:cs="宋体"/>
          <w:kern w:val="0"/>
          <w:highlight w:val="none"/>
        </w:rPr>
        <w:t>采购单位应</w:t>
      </w:r>
      <w:r>
        <w:rPr>
          <w:rFonts w:hint="eastAsia" w:hAnsi="宋体" w:cs="宋体"/>
          <w:kern w:val="0"/>
        </w:rPr>
        <w:t>当拒收。</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szCs w:val="21"/>
        </w:rPr>
      </w:pPr>
      <w:r>
        <w:rPr>
          <w:rFonts w:hint="eastAsia" w:ascii="宋体" w:hAnsi="宋体" w:cs="宋体"/>
          <w:bCs/>
          <w:szCs w:val="21"/>
        </w:rPr>
        <w:t>17.2采购单位在</w:t>
      </w:r>
      <w:r>
        <w:rPr>
          <w:rFonts w:hint="eastAsia" w:ascii="宋体" w:hAnsi="宋体" w:cs="宋体"/>
          <w:b/>
          <w:bCs/>
          <w:szCs w:val="21"/>
        </w:rPr>
        <w:t>前附表</w:t>
      </w:r>
      <w:r>
        <w:rPr>
          <w:rFonts w:hint="eastAsia" w:ascii="宋体" w:hAnsi="宋体" w:cs="宋体"/>
          <w:bCs/>
          <w:szCs w:val="21"/>
        </w:rPr>
        <w:t>规定的谈判时间和地点，组织谈判单位签到并接收响应文件。</w:t>
      </w:r>
    </w:p>
    <w:p>
      <w:pPr>
        <w:pStyle w:val="7"/>
        <w:keepNext w:val="0"/>
        <w:keepLines w:val="0"/>
        <w:pageBreakBefore w:val="0"/>
        <w:kinsoku/>
        <w:wordWrap/>
        <w:overflowPunct/>
        <w:topLinePunct w:val="0"/>
        <w:autoSpaceDE/>
        <w:autoSpaceDN/>
        <w:bidi w:val="0"/>
        <w:textAlignment w:val="auto"/>
        <w:rPr>
          <w:rFonts w:ascii="宋体" w:hAnsi="宋体" w:cs="宋体"/>
          <w:sz w:val="21"/>
          <w:szCs w:val="21"/>
        </w:rPr>
      </w:pPr>
      <w:bookmarkStart w:id="38" w:name="_Toc14891072"/>
      <w:bookmarkStart w:id="39" w:name="_Toc13483"/>
      <w:bookmarkStart w:id="40" w:name="_Toc19395"/>
      <w:r>
        <w:rPr>
          <w:rFonts w:hint="eastAsia" w:ascii="宋体" w:hAnsi="宋体" w:cs="宋体"/>
          <w:sz w:val="21"/>
          <w:szCs w:val="21"/>
        </w:rPr>
        <w:t>五、响应文件的评审</w:t>
      </w:r>
      <w:bookmarkEnd w:id="38"/>
      <w:bookmarkEnd w:id="39"/>
      <w:bookmarkEnd w:id="40"/>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szCs w:val="21"/>
        </w:rPr>
      </w:pPr>
      <w:r>
        <w:rPr>
          <w:rFonts w:hint="eastAsia" w:ascii="宋体" w:hAnsi="宋体" w:cs="宋体"/>
          <w:b/>
          <w:szCs w:val="21"/>
        </w:rPr>
        <w:t>18.</w:t>
      </w:r>
      <w:r>
        <w:rPr>
          <w:rFonts w:hint="eastAsia" w:ascii="宋体" w:hAnsi="宋体" w:cs="宋体"/>
          <w:bCs/>
          <w:szCs w:val="21"/>
        </w:rPr>
        <w:t>评审由谈判评审小组负责，谈判评审小组应按照本谈判文件</w:t>
      </w:r>
      <w:r>
        <w:rPr>
          <w:rFonts w:hint="eastAsia" w:ascii="宋体" w:hAnsi="宋体" w:cs="宋体"/>
          <w:b/>
          <w:szCs w:val="21"/>
        </w:rPr>
        <w:t>第三章</w:t>
      </w:r>
      <w:r>
        <w:rPr>
          <w:rFonts w:hint="eastAsia" w:ascii="宋体" w:hAnsi="宋体" w:cs="宋体"/>
          <w:bCs/>
          <w:szCs w:val="21"/>
        </w:rPr>
        <w:t>“评审办法及标准”的内容和程序对响应文件进行评审。</w:t>
      </w:r>
    </w:p>
    <w:p>
      <w:pPr>
        <w:pStyle w:val="7"/>
        <w:keepNext w:val="0"/>
        <w:keepLines w:val="0"/>
        <w:pageBreakBefore w:val="0"/>
        <w:kinsoku/>
        <w:wordWrap/>
        <w:overflowPunct/>
        <w:topLinePunct w:val="0"/>
        <w:autoSpaceDE/>
        <w:autoSpaceDN/>
        <w:bidi w:val="0"/>
        <w:textAlignment w:val="auto"/>
        <w:rPr>
          <w:rFonts w:ascii="宋体" w:hAnsi="宋体" w:cs="宋体"/>
          <w:sz w:val="21"/>
          <w:szCs w:val="21"/>
        </w:rPr>
      </w:pPr>
      <w:bookmarkStart w:id="41" w:name="_Toc25123"/>
      <w:bookmarkStart w:id="42" w:name="_Toc21358"/>
      <w:bookmarkStart w:id="43" w:name="_Toc14891073"/>
      <w:r>
        <w:rPr>
          <w:rFonts w:hint="eastAsia" w:ascii="宋体" w:hAnsi="宋体" w:cs="宋体"/>
          <w:sz w:val="21"/>
          <w:szCs w:val="21"/>
        </w:rPr>
        <w:t>六、响应文件的澄清、说明及补正</w:t>
      </w:r>
      <w:bookmarkEnd w:id="41"/>
      <w:bookmarkEnd w:id="42"/>
      <w:bookmarkEnd w:id="43"/>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kern w:val="0"/>
          <w:szCs w:val="21"/>
        </w:rPr>
      </w:pPr>
      <w:r>
        <w:rPr>
          <w:rFonts w:hint="eastAsia" w:ascii="宋体" w:hAnsi="宋体" w:cs="宋体"/>
          <w:b/>
          <w:kern w:val="0"/>
          <w:szCs w:val="21"/>
        </w:rPr>
        <w:t>19.澄清</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kern w:val="0"/>
          <w:szCs w:val="21"/>
        </w:rPr>
      </w:pPr>
      <w:r>
        <w:rPr>
          <w:rFonts w:hint="eastAsia" w:ascii="宋体" w:hAnsi="宋体" w:cs="宋体"/>
          <w:b/>
          <w:kern w:val="0"/>
          <w:szCs w:val="21"/>
        </w:rPr>
        <w:t>20.说明及补正</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s="宋体"/>
          <w:kern w:val="0"/>
          <w:szCs w:val="21"/>
        </w:rPr>
      </w:pPr>
      <w:r>
        <w:rPr>
          <w:rFonts w:hint="eastAsia" w:ascii="宋体" w:hAnsi="宋体" w:cs="宋体"/>
          <w:kern w:val="0"/>
          <w:szCs w:val="21"/>
        </w:rPr>
        <w:t>20.2谈判单位对响应文件的澄清不得改变谈判报价及实质内容。</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szCs w:val="21"/>
        </w:rPr>
      </w:pPr>
      <w:r>
        <w:rPr>
          <w:rFonts w:hint="eastAsia" w:ascii="宋体" w:hAnsi="宋体" w:cs="宋体"/>
          <w:kern w:val="0"/>
          <w:szCs w:val="21"/>
        </w:rPr>
        <w:t>20.3与谈判文件有重大偏离的响应文件将被拒绝。重大偏离指谈判总报价、谈判不含增值税总报价、谈判有效期、服务期明显不能满足谈判文件的要求。这些偏离不允许在响应文件递交截止时间之后修正。</w:t>
      </w:r>
    </w:p>
    <w:p>
      <w:pPr>
        <w:pStyle w:val="7"/>
        <w:keepNext w:val="0"/>
        <w:keepLines w:val="0"/>
        <w:pageBreakBefore w:val="0"/>
        <w:kinsoku/>
        <w:wordWrap/>
        <w:overflowPunct/>
        <w:topLinePunct w:val="0"/>
        <w:autoSpaceDE/>
        <w:autoSpaceDN/>
        <w:bidi w:val="0"/>
        <w:textAlignment w:val="auto"/>
        <w:rPr>
          <w:rFonts w:ascii="宋体" w:hAnsi="宋体" w:cs="宋体"/>
          <w:sz w:val="21"/>
          <w:szCs w:val="21"/>
        </w:rPr>
      </w:pPr>
      <w:bookmarkStart w:id="44" w:name="_Toc14891074"/>
      <w:bookmarkStart w:id="45" w:name="_Toc22523"/>
      <w:bookmarkStart w:id="46" w:name="_Toc20130"/>
      <w:r>
        <w:rPr>
          <w:rFonts w:hint="eastAsia" w:ascii="宋体" w:hAnsi="宋体" w:cs="宋体"/>
          <w:sz w:val="21"/>
          <w:szCs w:val="21"/>
        </w:rPr>
        <w:t>七、中选结果与授予合同</w:t>
      </w:r>
      <w:bookmarkEnd w:id="44"/>
      <w:bookmarkEnd w:id="45"/>
      <w:bookmarkEnd w:id="46"/>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21.中选信息的公布</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21.1中选单位确定后，采购单位应将结果信息在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7"/>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Ansi="宋体" w:cs="宋体"/>
          <w:b/>
          <w:bCs/>
        </w:rPr>
      </w:pPr>
      <w:r>
        <w:rPr>
          <w:rFonts w:hint="eastAsia" w:hAnsi="宋体" w:cs="宋体"/>
          <w:b/>
          <w:bCs/>
        </w:rPr>
        <w:t>22.评审结果异议</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b/>
        </w:rPr>
      </w:pPr>
      <w:r>
        <w:rPr>
          <w:rFonts w:hint="eastAsia" w:hAnsi="宋体" w:cs="宋体"/>
          <w:kern w:val="0"/>
        </w:rPr>
        <w:t>22.1谈判单位对评审结果有异议的，应当在结果公示期间提出。</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23.中选通知</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23.1中选单位确定后，采购单位将以书面形式向中选单位发出中选通知书。中选通知书对采购单位和中选单位具有同等法律效力。</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24.签订合同</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24.1谈判文件、中选单位的响应文件及其补充的文件等均为签订合同的依据。</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24.2中选单位应当在中选通知书发出后及时与采购单位签订合同。</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24.3中选单位应当按照合同约定履行义务。</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25.纪律和监督</w:t>
      </w:r>
    </w:p>
    <w:p>
      <w:pPr>
        <w:keepNext w:val="0"/>
        <w:keepLines w:val="0"/>
        <w:pageBreakBefore w:val="0"/>
        <w:kinsoku/>
        <w:wordWrap/>
        <w:overflowPunct/>
        <w:topLinePunct w:val="0"/>
        <w:autoSpaceDE/>
        <w:autoSpaceDN/>
        <w:bidi w:val="0"/>
        <w:spacing w:line="360" w:lineRule="auto"/>
        <w:ind w:firstLine="422" w:firstLineChars="200"/>
        <w:textAlignment w:val="auto"/>
        <w:rPr>
          <w:rFonts w:ascii="宋体" w:hAnsi="宋体" w:cs="宋体"/>
          <w:b/>
          <w:bCs/>
          <w:szCs w:val="21"/>
        </w:rPr>
      </w:pPr>
      <w:r>
        <w:rPr>
          <w:rFonts w:hint="eastAsia" w:ascii="宋体" w:hAnsi="宋体" w:cs="宋体"/>
          <w:b/>
          <w:bCs/>
          <w:szCs w:val="21"/>
        </w:rPr>
        <w:t>25.1对采购单位的纪律要求</w:t>
      </w:r>
    </w:p>
    <w:p>
      <w:pPr>
        <w:pStyle w:val="357"/>
        <w:keepNext w:val="0"/>
        <w:keepLines w:val="0"/>
        <w:pageBreakBefore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采购单位不得泄露谈判活动中应当保密的情况和资料，不得与谈判单位串通损害国家利益、社会公共利益或者他人合法权益。</w:t>
      </w:r>
    </w:p>
    <w:p>
      <w:pPr>
        <w:keepNext w:val="0"/>
        <w:keepLines w:val="0"/>
        <w:pageBreakBefore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textAlignment w:val="auto"/>
        <w:rPr>
          <w:rFonts w:ascii="宋体" w:hAnsi="宋体" w:cs="宋体"/>
          <w:b/>
          <w:bCs/>
          <w:szCs w:val="21"/>
        </w:rPr>
      </w:pPr>
      <w:r>
        <w:rPr>
          <w:rFonts w:hint="eastAsia" w:ascii="宋体" w:hAnsi="宋体" w:cs="宋体"/>
          <w:b/>
          <w:bCs/>
          <w:szCs w:val="21"/>
        </w:rPr>
        <w:t>25.2对谈判单位的纪律要求</w:t>
      </w:r>
    </w:p>
    <w:p>
      <w:pPr>
        <w:pStyle w:val="357"/>
        <w:keepNext w:val="0"/>
        <w:keepLines w:val="0"/>
        <w:pageBreakBefore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谈判单位不得相互串通或者与采购单位串通，不得向采购单位或者谈判评审小组成员行贿谋取中选，不得以他人名义参与谈判或者以其他方式弄虚作假骗取中选；谈判单位不得以任何方式干扰、影响评审工作。</w:t>
      </w:r>
    </w:p>
    <w:p>
      <w:pPr>
        <w:keepNext w:val="0"/>
        <w:keepLines w:val="0"/>
        <w:pageBreakBefore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textAlignment w:val="auto"/>
        <w:rPr>
          <w:rFonts w:ascii="宋体" w:hAnsi="宋体" w:cs="宋体"/>
          <w:b/>
          <w:bCs/>
          <w:szCs w:val="21"/>
        </w:rPr>
      </w:pPr>
      <w:r>
        <w:rPr>
          <w:rFonts w:hint="eastAsia" w:ascii="宋体" w:hAnsi="宋体" w:cs="宋体"/>
          <w:b/>
          <w:bCs/>
          <w:szCs w:val="21"/>
        </w:rPr>
        <w:t>25.3对</w:t>
      </w:r>
      <w:r>
        <w:rPr>
          <w:rFonts w:hint="eastAsia" w:ascii="宋体" w:hAnsi="宋体" w:cs="宋体"/>
          <w:b/>
          <w:szCs w:val="21"/>
        </w:rPr>
        <w:t>谈判评审小组</w:t>
      </w:r>
      <w:r>
        <w:rPr>
          <w:rFonts w:hint="eastAsia" w:ascii="宋体" w:hAnsi="宋体" w:cs="宋体"/>
          <w:b/>
          <w:bCs/>
          <w:szCs w:val="21"/>
        </w:rPr>
        <w:t>成员的纪律要求</w:t>
      </w:r>
    </w:p>
    <w:p>
      <w:pPr>
        <w:pStyle w:val="357"/>
        <w:keepNext w:val="0"/>
        <w:keepLines w:val="0"/>
        <w:pageBreakBefore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w:t>
      </w:r>
      <w:r>
        <w:rPr>
          <w:rFonts w:hint="eastAsia" w:hAnsi="宋体" w:cs="宋体"/>
          <w:b/>
          <w:bCs/>
          <w:sz w:val="21"/>
          <w:szCs w:val="21"/>
        </w:rPr>
        <w:t>第</w:t>
      </w:r>
      <w:bookmarkStart w:id="47" w:name="page32"/>
      <w:bookmarkEnd w:id="47"/>
      <w:r>
        <w:rPr>
          <w:rFonts w:hint="eastAsia" w:hAnsi="宋体" w:cs="宋体"/>
          <w:b/>
          <w:bCs/>
          <w:sz w:val="21"/>
          <w:szCs w:val="21"/>
        </w:rPr>
        <w:t>三章</w:t>
      </w:r>
      <w:r>
        <w:rPr>
          <w:rFonts w:hint="eastAsia" w:hAnsi="宋体" w:cs="宋体"/>
          <w:sz w:val="21"/>
          <w:szCs w:val="21"/>
        </w:rPr>
        <w:t>“评审办法及标准”没有规定的评审因素和标准进行评审。</w:t>
      </w:r>
    </w:p>
    <w:p>
      <w:pPr>
        <w:keepNext w:val="0"/>
        <w:keepLines w:val="0"/>
        <w:pageBreakBefore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textAlignment w:val="auto"/>
        <w:rPr>
          <w:rFonts w:ascii="宋体" w:hAnsi="宋体" w:cs="宋体"/>
          <w:b/>
          <w:bCs/>
          <w:szCs w:val="21"/>
        </w:rPr>
      </w:pPr>
      <w:r>
        <w:rPr>
          <w:rFonts w:hint="eastAsia" w:ascii="宋体" w:hAnsi="宋体" w:cs="宋体"/>
          <w:b/>
          <w:bCs/>
          <w:szCs w:val="21"/>
        </w:rPr>
        <w:t>25.4对与评审活动有关的工作人员的纪律要求</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7"/>
        <w:keepNext w:val="0"/>
        <w:keepLines w:val="0"/>
        <w:pageBreakBefore w:val="0"/>
        <w:kinsoku/>
        <w:wordWrap/>
        <w:overflowPunct/>
        <w:topLinePunct w:val="0"/>
        <w:autoSpaceDE/>
        <w:autoSpaceDN/>
        <w:bidi w:val="0"/>
        <w:textAlignment w:val="auto"/>
        <w:rPr>
          <w:rFonts w:ascii="宋体" w:hAnsi="宋体" w:cs="宋体"/>
          <w:sz w:val="21"/>
          <w:szCs w:val="21"/>
        </w:rPr>
      </w:pPr>
      <w:bookmarkStart w:id="48" w:name="_Toc14891075"/>
      <w:bookmarkStart w:id="49" w:name="_Toc2045"/>
      <w:bookmarkStart w:id="50" w:name="_Toc30525"/>
      <w:r>
        <w:rPr>
          <w:rFonts w:hint="eastAsia" w:ascii="宋体" w:hAnsi="宋体" w:cs="宋体"/>
          <w:sz w:val="21"/>
          <w:szCs w:val="21"/>
        </w:rPr>
        <w:t>八、其他</w:t>
      </w:r>
      <w:bookmarkEnd w:id="48"/>
      <w:bookmarkEnd w:id="49"/>
      <w:bookmarkEnd w:id="50"/>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26.处罚规定</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26.1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给予没收部分或全部谈判保证金，或（和）禁止其一定期限内（最多三年）参与采购人项目招标采购活动，并出具书面处理决定。除此之外，如谈判单位给采购人造成的损失超过谈判保证金数额的，谈判单位应当对超过部分给予赔偿。包括但不限于下列情形：</w:t>
      </w:r>
    </w:p>
    <w:p>
      <w:pPr>
        <w:pStyle w:val="27"/>
        <w:keepNext w:val="0"/>
        <w:keepLines w:val="0"/>
        <w:pageBreakBefore w:val="0"/>
        <w:numPr>
          <w:ilvl w:val="0"/>
          <w:numId w:val="15"/>
        </w:numPr>
        <w:kinsoku/>
        <w:wordWrap/>
        <w:overflowPunct/>
        <w:topLinePunct w:val="0"/>
        <w:autoSpaceDE/>
        <w:autoSpaceDN/>
        <w:bidi w:val="0"/>
        <w:adjustRightInd w:val="0"/>
        <w:snapToGrid w:val="0"/>
        <w:spacing w:line="360" w:lineRule="auto"/>
        <w:ind w:left="0" w:firstLine="420" w:firstLineChars="200"/>
        <w:textAlignment w:val="auto"/>
        <w:rPr>
          <w:rFonts w:hAnsi="宋体" w:cs="宋体"/>
        </w:rPr>
      </w:pPr>
      <w:r>
        <w:rPr>
          <w:rFonts w:hint="eastAsia" w:hAnsi="宋体" w:cs="宋体"/>
        </w:rPr>
        <w:t>谈判单位提出撤回或撤销或放弃中选资格或对报价提出实质性修改；</w:t>
      </w:r>
    </w:p>
    <w:p>
      <w:pPr>
        <w:pStyle w:val="27"/>
        <w:keepNext w:val="0"/>
        <w:keepLines w:val="0"/>
        <w:pageBreakBefore w:val="0"/>
        <w:numPr>
          <w:ilvl w:val="0"/>
          <w:numId w:val="15"/>
        </w:numPr>
        <w:kinsoku/>
        <w:wordWrap/>
        <w:overflowPunct/>
        <w:topLinePunct w:val="0"/>
        <w:autoSpaceDE/>
        <w:autoSpaceDN/>
        <w:bidi w:val="0"/>
        <w:adjustRightInd w:val="0"/>
        <w:snapToGrid w:val="0"/>
        <w:spacing w:line="360" w:lineRule="auto"/>
        <w:ind w:left="0" w:firstLine="420" w:firstLineChars="200"/>
        <w:textAlignment w:val="auto"/>
        <w:rPr>
          <w:rFonts w:hAnsi="宋体" w:cs="宋体"/>
        </w:rPr>
      </w:pPr>
      <w:r>
        <w:rPr>
          <w:rFonts w:hint="eastAsia" w:hAnsi="宋体" w:cs="宋体"/>
        </w:rPr>
        <w:t>中选单位未能在规定期限内签订合同或不按报价结果签订合同；</w:t>
      </w:r>
    </w:p>
    <w:p>
      <w:pPr>
        <w:pStyle w:val="27"/>
        <w:keepNext w:val="0"/>
        <w:keepLines w:val="0"/>
        <w:pageBreakBefore w:val="0"/>
        <w:numPr>
          <w:ilvl w:val="0"/>
          <w:numId w:val="15"/>
        </w:numPr>
        <w:kinsoku/>
        <w:wordWrap/>
        <w:overflowPunct/>
        <w:topLinePunct w:val="0"/>
        <w:autoSpaceDE/>
        <w:autoSpaceDN/>
        <w:bidi w:val="0"/>
        <w:adjustRightInd w:val="0"/>
        <w:snapToGrid w:val="0"/>
        <w:spacing w:line="360" w:lineRule="auto"/>
        <w:ind w:left="0" w:firstLine="420" w:firstLineChars="200"/>
        <w:textAlignment w:val="auto"/>
        <w:rPr>
          <w:rFonts w:hAnsi="宋体" w:cs="宋体"/>
        </w:rPr>
      </w:pPr>
      <w:r>
        <w:rPr>
          <w:rFonts w:hint="eastAsia" w:hAnsi="宋体" w:cs="宋体"/>
        </w:rPr>
        <w:t>中选单位未能在规定期限内提交履约保证金；</w:t>
      </w:r>
    </w:p>
    <w:p>
      <w:pPr>
        <w:pStyle w:val="27"/>
        <w:keepNext w:val="0"/>
        <w:keepLines w:val="0"/>
        <w:pageBreakBefore w:val="0"/>
        <w:numPr>
          <w:ilvl w:val="0"/>
          <w:numId w:val="15"/>
        </w:numPr>
        <w:kinsoku/>
        <w:wordWrap/>
        <w:overflowPunct/>
        <w:topLinePunct w:val="0"/>
        <w:autoSpaceDE/>
        <w:autoSpaceDN/>
        <w:bidi w:val="0"/>
        <w:adjustRightInd w:val="0"/>
        <w:snapToGrid w:val="0"/>
        <w:spacing w:line="360" w:lineRule="auto"/>
        <w:ind w:left="0" w:firstLine="420" w:firstLineChars="200"/>
        <w:textAlignment w:val="auto"/>
        <w:rPr>
          <w:rFonts w:hAnsi="宋体" w:cs="宋体"/>
        </w:rPr>
      </w:pPr>
      <w:r>
        <w:rPr>
          <w:rFonts w:hint="eastAsia" w:hAnsi="宋体" w:cs="宋体"/>
        </w:rPr>
        <w:t>中选单位在合同订立过程中未能完全响应采购文件、清单、附件、合同要求以致合同无法订立的；</w:t>
      </w:r>
    </w:p>
    <w:p>
      <w:pPr>
        <w:pStyle w:val="27"/>
        <w:keepNext w:val="0"/>
        <w:keepLines w:val="0"/>
        <w:pageBreakBefore w:val="0"/>
        <w:numPr>
          <w:ilvl w:val="0"/>
          <w:numId w:val="15"/>
        </w:numPr>
        <w:kinsoku/>
        <w:wordWrap/>
        <w:overflowPunct/>
        <w:topLinePunct w:val="0"/>
        <w:autoSpaceDE/>
        <w:autoSpaceDN/>
        <w:bidi w:val="0"/>
        <w:adjustRightInd w:val="0"/>
        <w:snapToGrid w:val="0"/>
        <w:spacing w:line="360" w:lineRule="auto"/>
        <w:ind w:left="0" w:firstLine="420" w:firstLineChars="200"/>
        <w:textAlignment w:val="auto"/>
        <w:rPr>
          <w:rFonts w:hAnsi="宋体" w:cs="宋体"/>
          <w:highlight w:val="none"/>
        </w:rPr>
      </w:pPr>
      <w:r>
        <w:rPr>
          <w:rFonts w:hint="eastAsia" w:hAnsi="宋体" w:cs="宋体"/>
          <w:highlight w:val="none"/>
        </w:rPr>
        <w:t>经查实谈判单位报价资料弄虚作假的；</w:t>
      </w:r>
    </w:p>
    <w:p>
      <w:pPr>
        <w:pStyle w:val="27"/>
        <w:keepNext w:val="0"/>
        <w:keepLines w:val="0"/>
        <w:pageBreakBefore w:val="0"/>
        <w:numPr>
          <w:ilvl w:val="0"/>
          <w:numId w:val="15"/>
        </w:numPr>
        <w:kinsoku/>
        <w:wordWrap/>
        <w:overflowPunct/>
        <w:topLinePunct w:val="0"/>
        <w:autoSpaceDE/>
        <w:autoSpaceDN/>
        <w:bidi w:val="0"/>
        <w:adjustRightInd w:val="0"/>
        <w:snapToGrid w:val="0"/>
        <w:spacing w:line="360" w:lineRule="auto"/>
        <w:ind w:left="0" w:firstLine="420" w:firstLineChars="200"/>
        <w:textAlignment w:val="auto"/>
        <w:rPr>
          <w:rFonts w:hAnsi="宋体" w:cs="宋体"/>
        </w:rPr>
      </w:pPr>
      <w:r>
        <w:rPr>
          <w:rFonts w:hint="eastAsia" w:hAnsi="宋体" w:cs="宋体"/>
        </w:rPr>
        <w:t>串通参与谈判相关行为的。如不同谈判单位的谈判保证金从同一账户转出。</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26.2谈判单位不允许有挂靠或转包的行为，采购单位或评审小组在任何时候发现谈判单位是挂靠或转包的，该谈判单位按照不合格供应商处理，采购单位有权取消其中选资格或（和）没收谈判保证金，已签订合同的，终止合同，没收履约保证金，并追究该谈判单位的有关法律责任。</w:t>
      </w:r>
    </w:p>
    <w:p>
      <w:pPr>
        <w:pStyle w:val="27"/>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26.3.法律法规中规定的其他情形。</w:t>
      </w:r>
    </w:p>
    <w:p>
      <w:pPr>
        <w:pStyle w:val="16"/>
        <w:rPr>
          <w:rFonts w:ascii="宋体" w:hAnsi="宋体" w:cs="宋体"/>
          <w:szCs w:val="21"/>
        </w:rPr>
      </w:pPr>
    </w:p>
    <w:p>
      <w:pPr>
        <w:sectPr>
          <w:footerReference r:id="rId7" w:type="default"/>
          <w:pgSz w:w="11906" w:h="16838"/>
          <w:pgMar w:top="2098" w:right="1474" w:bottom="1984" w:left="1587" w:header="851" w:footer="992" w:gutter="0"/>
          <w:pgNumType w:fmt="decimal"/>
          <w:cols w:space="0" w:num="1"/>
          <w:docGrid w:type="lines" w:linePitch="319" w:charSpace="0"/>
        </w:sectPr>
      </w:pPr>
    </w:p>
    <w:p>
      <w:pPr>
        <w:pStyle w:val="6"/>
        <w:keepNext w:val="0"/>
        <w:keepLines w:val="0"/>
        <w:pageBreakBefore w:val="0"/>
        <w:kinsoku/>
        <w:wordWrap/>
        <w:overflowPunct/>
        <w:topLinePunct w:val="0"/>
        <w:autoSpaceDE/>
        <w:autoSpaceDN/>
        <w:bidi w:val="0"/>
        <w:spacing w:line="360" w:lineRule="auto"/>
        <w:ind w:left="0" w:leftChars="0"/>
        <w:textAlignment w:val="auto"/>
        <w:rPr>
          <w:rFonts w:ascii="宋体" w:hAnsi="宋体" w:cs="宋体"/>
          <w:bCs w:val="0"/>
          <w:sz w:val="32"/>
          <w:szCs w:val="32"/>
        </w:rPr>
      </w:pPr>
      <w:bookmarkStart w:id="51" w:name="_Toc4275"/>
      <w:bookmarkStart w:id="52" w:name="_Toc21513"/>
      <w:bookmarkStart w:id="53" w:name="_Toc1719"/>
      <w:bookmarkStart w:id="54" w:name="_Toc5567"/>
      <w:bookmarkStart w:id="55" w:name="_Toc28427"/>
      <w:r>
        <w:rPr>
          <w:rFonts w:hint="eastAsia" w:ascii="宋体" w:hAnsi="宋体" w:cs="宋体"/>
          <w:bCs w:val="0"/>
          <w:sz w:val="32"/>
          <w:szCs w:val="32"/>
        </w:rPr>
        <w:t>第三章  评审办法及标准</w:t>
      </w:r>
      <w:bookmarkEnd w:id="51"/>
      <w:bookmarkEnd w:id="52"/>
      <w:bookmarkEnd w:id="53"/>
      <w:bookmarkEnd w:id="54"/>
      <w:bookmarkEnd w:id="55"/>
    </w:p>
    <w:p>
      <w:pPr>
        <w:keepNext w:val="0"/>
        <w:keepLines w:val="0"/>
        <w:pageBreakBefore w:val="0"/>
        <w:kinsoku/>
        <w:wordWrap/>
        <w:overflowPunct/>
        <w:topLinePunct w:val="0"/>
        <w:autoSpaceDE/>
        <w:autoSpaceDN/>
        <w:bidi w:val="0"/>
        <w:adjustRightInd w:val="0"/>
        <w:snapToGrid w:val="0"/>
        <w:spacing w:line="360" w:lineRule="auto"/>
        <w:ind w:left="632" w:leftChars="0" w:hanging="632" w:hangingChars="300"/>
        <w:textAlignment w:val="auto"/>
        <w:rPr>
          <w:rFonts w:ascii="宋体" w:hAnsi="宋体" w:cs="宋体"/>
          <w:b/>
          <w:szCs w:val="21"/>
        </w:rPr>
      </w:pPr>
    </w:p>
    <w:p>
      <w:pPr>
        <w:keepNext w:val="0"/>
        <w:keepLines w:val="0"/>
        <w:pageBreakBefore w:val="0"/>
        <w:kinsoku/>
        <w:wordWrap/>
        <w:overflowPunct/>
        <w:topLinePunct w:val="0"/>
        <w:autoSpaceDE/>
        <w:autoSpaceDN/>
        <w:bidi w:val="0"/>
        <w:adjustRightInd w:val="0"/>
        <w:snapToGrid w:val="0"/>
        <w:spacing w:line="360" w:lineRule="auto"/>
        <w:ind w:left="632" w:leftChars="0" w:hanging="632" w:hangingChars="300"/>
        <w:textAlignment w:val="auto"/>
        <w:rPr>
          <w:rFonts w:ascii="宋体" w:hAnsi="宋体" w:cs="宋体"/>
          <w:b/>
          <w:szCs w:val="21"/>
        </w:rPr>
      </w:pPr>
      <w:r>
        <w:rPr>
          <w:rFonts w:hint="eastAsia" w:ascii="宋体" w:hAnsi="宋体" w:cs="宋体"/>
          <w:b/>
          <w:szCs w:val="21"/>
        </w:rPr>
        <w:t>一、评审办法</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rPr>
      </w:pPr>
      <w:r>
        <w:rPr>
          <w:rFonts w:hint="eastAsia" w:ascii="宋体" w:hAnsi="宋体" w:cs="宋体"/>
          <w:bCs/>
          <w:szCs w:val="21"/>
        </w:rPr>
        <w:t>1.1本项目采用经符合性审查合格后的</w:t>
      </w:r>
      <w:r>
        <w:rPr>
          <w:rFonts w:hint="eastAsia" w:ascii="宋体" w:hAnsi="宋体" w:cs="宋体"/>
          <w:b/>
          <w:bCs/>
          <w:szCs w:val="21"/>
        </w:rPr>
        <w:t>最低价法</w:t>
      </w:r>
      <w:r>
        <w:rPr>
          <w:rFonts w:hint="eastAsia" w:ascii="宋体" w:hAnsi="宋体" w:cs="宋体"/>
          <w:szCs w:val="21"/>
        </w:rPr>
        <w:t>。</w:t>
      </w:r>
    </w:p>
    <w:p>
      <w:pPr>
        <w:keepNext w:val="0"/>
        <w:keepLines w:val="0"/>
        <w:pageBreakBefore w:val="0"/>
        <w:kinsoku/>
        <w:wordWrap/>
        <w:overflowPunct/>
        <w:topLinePunct w:val="0"/>
        <w:autoSpaceDE/>
        <w:autoSpaceDN/>
        <w:bidi w:val="0"/>
        <w:adjustRightInd w:val="0"/>
        <w:snapToGrid w:val="0"/>
        <w:spacing w:line="360" w:lineRule="auto"/>
        <w:ind w:left="632" w:leftChars="0" w:hanging="632" w:hangingChars="300"/>
        <w:textAlignment w:val="auto"/>
        <w:rPr>
          <w:rFonts w:ascii="宋体" w:hAnsi="宋体" w:cs="宋体"/>
          <w:b/>
          <w:szCs w:val="21"/>
        </w:rPr>
      </w:pPr>
      <w:r>
        <w:rPr>
          <w:rFonts w:hint="eastAsia" w:ascii="宋体" w:hAnsi="宋体" w:cs="宋体"/>
          <w:b/>
          <w:szCs w:val="21"/>
        </w:rPr>
        <w:t>二、谈判程序</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bCs/>
          <w:szCs w:val="21"/>
        </w:rPr>
      </w:pPr>
      <w:r>
        <w:rPr>
          <w:rFonts w:hint="eastAsia" w:ascii="宋体" w:hAnsi="宋体" w:cs="宋体"/>
          <w:bCs/>
          <w:szCs w:val="21"/>
        </w:rPr>
        <w:t>2.1采购单位在</w:t>
      </w:r>
      <w:r>
        <w:rPr>
          <w:rFonts w:hint="eastAsia" w:ascii="宋体" w:hAnsi="宋体" w:cs="宋体"/>
          <w:b/>
          <w:szCs w:val="21"/>
        </w:rPr>
        <w:t>前附表</w:t>
      </w:r>
      <w:r>
        <w:rPr>
          <w:rFonts w:hint="eastAsia" w:ascii="宋体" w:hAnsi="宋体" w:cs="宋体"/>
          <w:bCs/>
          <w:szCs w:val="21"/>
        </w:rPr>
        <w:t>内规定的谈判时间及地点组织谈判活动。谈判活动由采购单位、谈判单位代表参与。</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b/>
          <w:szCs w:val="21"/>
        </w:rPr>
      </w:pPr>
      <w:r>
        <w:rPr>
          <w:rFonts w:hint="eastAsia" w:ascii="宋体" w:hAnsi="宋体" w:cs="宋体"/>
          <w:bCs/>
          <w:szCs w:val="21"/>
        </w:rPr>
        <w:t>2.2谈判程序分为：</w:t>
      </w:r>
      <w:r>
        <w:rPr>
          <w:rFonts w:hint="eastAsia" w:ascii="宋体" w:hAnsi="宋体" w:cs="宋体"/>
          <w:b/>
          <w:szCs w:val="21"/>
        </w:rPr>
        <w:t>谈判验证阶段及谈判评审阶段。</w:t>
      </w:r>
    </w:p>
    <w:p>
      <w:pPr>
        <w:keepNext w:val="0"/>
        <w:keepLines w:val="0"/>
        <w:pageBreakBefore w:val="0"/>
        <w:kinsoku/>
        <w:wordWrap/>
        <w:overflowPunct/>
        <w:topLinePunct w:val="0"/>
        <w:autoSpaceDE/>
        <w:autoSpaceDN/>
        <w:bidi w:val="0"/>
        <w:adjustRightInd w:val="0"/>
        <w:snapToGrid w:val="0"/>
        <w:spacing w:line="360" w:lineRule="auto"/>
        <w:ind w:left="632" w:leftChars="0" w:hanging="632" w:hangingChars="300"/>
        <w:textAlignment w:val="auto"/>
        <w:rPr>
          <w:rFonts w:ascii="宋体" w:hAnsi="宋体" w:cs="宋体"/>
          <w:b/>
          <w:szCs w:val="21"/>
        </w:rPr>
      </w:pPr>
      <w:r>
        <w:rPr>
          <w:rFonts w:hint="eastAsia" w:ascii="宋体" w:hAnsi="宋体" w:cs="宋体"/>
          <w:b/>
          <w:szCs w:val="21"/>
        </w:rPr>
        <w:t>三、谈判验证阶段</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bCs/>
          <w:szCs w:val="21"/>
        </w:rPr>
      </w:pPr>
      <w:r>
        <w:rPr>
          <w:rFonts w:hint="eastAsia" w:ascii="宋体" w:hAnsi="宋体" w:cs="宋体"/>
          <w:bCs/>
          <w:szCs w:val="21"/>
        </w:rPr>
        <w:t>谈判验证阶段分为身份验证和唱价。</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bCs/>
          <w:szCs w:val="21"/>
        </w:rPr>
      </w:pPr>
      <w:r>
        <w:rPr>
          <w:rFonts w:hint="eastAsia" w:ascii="宋体" w:hAnsi="宋体" w:cs="宋体"/>
          <w:bCs/>
          <w:szCs w:val="21"/>
        </w:rPr>
        <w:t>3.1身份验证阶段</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bCs/>
          <w:szCs w:val="21"/>
        </w:rPr>
      </w:pPr>
      <w:r>
        <w:rPr>
          <w:rFonts w:hint="eastAsia" w:ascii="宋体" w:hAnsi="宋体" w:cs="宋体"/>
          <w:bCs/>
          <w:szCs w:val="21"/>
        </w:rPr>
        <w:t>3.1.1采购单位按本文件</w:t>
      </w:r>
      <w:r>
        <w:rPr>
          <w:rFonts w:hint="eastAsia" w:ascii="宋体" w:hAnsi="宋体" w:cs="宋体"/>
          <w:b/>
          <w:szCs w:val="21"/>
        </w:rPr>
        <w:t>前附表</w:t>
      </w:r>
      <w:r>
        <w:rPr>
          <w:rFonts w:hint="eastAsia" w:ascii="宋体" w:hAnsi="宋体" w:cs="宋体"/>
          <w:bCs/>
          <w:szCs w:val="21"/>
        </w:rPr>
        <w:t>内规定的响应文件的谈判现场验证要求，对参与谈判的单位代表身份进行验证。</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rPr>
      </w:pPr>
      <w:r>
        <w:rPr>
          <w:rFonts w:hint="eastAsia" w:ascii="宋体" w:hAnsi="宋体" w:cs="宋体"/>
          <w:bCs/>
          <w:szCs w:val="21"/>
        </w:rPr>
        <w:t>3.1.2参与谈判的代表身份经验证不合格的，视为无效响应，</w:t>
      </w:r>
      <w:r>
        <w:rPr>
          <w:rFonts w:hint="eastAsia" w:ascii="宋体" w:hAnsi="宋体" w:cs="宋体"/>
          <w:szCs w:val="21"/>
        </w:rPr>
        <w:t>不得进入下一阶段。</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bCs/>
          <w:szCs w:val="21"/>
        </w:rPr>
      </w:pPr>
      <w:r>
        <w:rPr>
          <w:rFonts w:hint="eastAsia" w:ascii="宋体" w:hAnsi="宋体" w:cs="宋体"/>
          <w:bCs/>
          <w:szCs w:val="21"/>
        </w:rPr>
        <w:t>3.2.唱价阶段</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bCs/>
          <w:szCs w:val="21"/>
        </w:rPr>
      </w:pPr>
      <w:r>
        <w:rPr>
          <w:rFonts w:hint="eastAsia" w:ascii="宋体" w:hAnsi="宋体" w:cs="宋体"/>
          <w:bCs/>
          <w:szCs w:val="21"/>
        </w:rPr>
        <w:t>3.2.1身份验证结束后，由采购单位当众拆封经身份验证合格的谈判单位的谈判响应文件，宣读响应文件中《报价一览表》内容，并记录在案。</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bCs/>
          <w:szCs w:val="21"/>
        </w:rPr>
      </w:pPr>
      <w:r>
        <w:rPr>
          <w:rFonts w:hint="eastAsia" w:ascii="宋体" w:hAnsi="宋体" w:cs="宋体"/>
          <w:bCs/>
          <w:szCs w:val="21"/>
        </w:rPr>
        <w:t>3.2.2谈判单位法定代表人或授权委托人、现场监督员、记录人等有关人员在唱价记录表上签字确认，谈判单位对本阶段有异议的应当场提出，采购单位人员当场作出答复，并记录在案，未提出的，视为无异议。</w:t>
      </w:r>
    </w:p>
    <w:p>
      <w:pPr>
        <w:keepNext w:val="0"/>
        <w:keepLines w:val="0"/>
        <w:pageBreakBefore w:val="0"/>
        <w:kinsoku/>
        <w:wordWrap/>
        <w:overflowPunct/>
        <w:topLinePunct w:val="0"/>
        <w:autoSpaceDE/>
        <w:autoSpaceDN/>
        <w:bidi w:val="0"/>
        <w:adjustRightInd w:val="0"/>
        <w:snapToGrid w:val="0"/>
        <w:spacing w:line="360" w:lineRule="auto"/>
        <w:ind w:left="632" w:leftChars="0" w:hanging="632" w:hangingChars="300"/>
        <w:textAlignment w:val="auto"/>
        <w:rPr>
          <w:rFonts w:ascii="宋体" w:hAnsi="宋体" w:cs="宋体"/>
          <w:b/>
          <w:szCs w:val="21"/>
        </w:rPr>
      </w:pPr>
      <w:r>
        <w:rPr>
          <w:rFonts w:hint="eastAsia" w:ascii="宋体" w:hAnsi="宋体" w:cs="宋体"/>
          <w:b/>
          <w:szCs w:val="21"/>
        </w:rPr>
        <w:t>四、谈判评审阶段</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bCs/>
          <w:szCs w:val="21"/>
        </w:rPr>
      </w:pPr>
      <w:r>
        <w:rPr>
          <w:rFonts w:hint="eastAsia" w:ascii="宋体" w:hAnsi="宋体" w:cs="宋体"/>
          <w:bCs/>
          <w:szCs w:val="21"/>
        </w:rPr>
        <w:t>谈判评审阶段分为符合性审查、详细评审及推荐中选单位。</w:t>
      </w:r>
    </w:p>
    <w:p>
      <w:pPr>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rPr>
          <w:rFonts w:ascii="宋体" w:hAnsi="宋体" w:cs="宋体"/>
          <w:b/>
          <w:szCs w:val="21"/>
          <w:highlight w:val="none"/>
        </w:rPr>
      </w:pPr>
      <w:r>
        <w:rPr>
          <w:rFonts w:hint="eastAsia" w:ascii="宋体" w:hAnsi="宋体" w:cs="宋体"/>
          <w:b/>
          <w:szCs w:val="21"/>
          <w:highlight w:val="none"/>
        </w:rPr>
        <w:t>4.1符合性审查阶段</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highlight w:val="none"/>
        </w:rPr>
      </w:pPr>
      <w:r>
        <w:rPr>
          <w:rFonts w:hint="eastAsia" w:ascii="宋体" w:hAnsi="宋体" w:cs="宋体"/>
          <w:szCs w:val="21"/>
          <w:highlight w:val="none"/>
        </w:rPr>
        <w:t>符</w:t>
      </w:r>
      <w:r>
        <w:rPr>
          <w:rFonts w:hint="eastAsia" w:ascii="宋体" w:hAnsi="宋体" w:cs="宋体"/>
          <w:color w:val="auto"/>
          <w:szCs w:val="21"/>
          <w:highlight w:val="none"/>
        </w:rPr>
        <w:t>合性审查分为对谈判单位资格的符合性审查及报价的符合性审查。</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highlight w:val="none"/>
        </w:rPr>
      </w:pPr>
      <w:r>
        <w:rPr>
          <w:rFonts w:hint="eastAsia" w:ascii="宋体" w:hAnsi="宋体" w:cs="宋体"/>
          <w:szCs w:val="21"/>
          <w:highlight w:val="none"/>
        </w:rPr>
        <w:t>4.1.1资格的符合性审查</w:t>
      </w:r>
    </w:p>
    <w:p>
      <w:pPr>
        <w:keepNext w:val="0"/>
        <w:keepLines w:val="0"/>
        <w:pageBreakBefore w:val="0"/>
        <w:kinsoku/>
        <w:wordWrap/>
        <w:overflowPunct/>
        <w:topLinePunct w:val="0"/>
        <w:autoSpaceDE/>
        <w:autoSpaceDN/>
        <w:bidi w:val="0"/>
        <w:adjustRightInd w:val="0"/>
        <w:snapToGrid w:val="0"/>
        <w:spacing w:line="360" w:lineRule="auto"/>
        <w:ind w:left="0" w:leftChars="0" w:firstLine="411" w:firstLineChars="196"/>
        <w:textAlignment w:val="auto"/>
        <w:rPr>
          <w:rFonts w:ascii="宋体" w:hAnsi="宋体"/>
          <w:szCs w:val="21"/>
          <w:highlight w:val="none"/>
        </w:rPr>
      </w:pPr>
      <w:r>
        <w:rPr>
          <w:rFonts w:hint="eastAsia" w:ascii="宋体" w:hAnsi="宋体" w:cs="宋体"/>
          <w:szCs w:val="21"/>
          <w:highlight w:val="none"/>
        </w:rPr>
        <w:t>谈判</w:t>
      </w:r>
      <w:r>
        <w:rPr>
          <w:rFonts w:hint="eastAsia" w:ascii="宋体" w:hAnsi="宋体"/>
          <w:szCs w:val="21"/>
          <w:highlight w:val="none"/>
        </w:rPr>
        <w:t>评审</w:t>
      </w:r>
      <w:r>
        <w:rPr>
          <w:rFonts w:hint="eastAsia" w:ascii="宋体" w:hAnsi="宋体"/>
          <w:bCs/>
          <w:szCs w:val="21"/>
          <w:highlight w:val="none"/>
        </w:rPr>
        <w:t>小组</w:t>
      </w:r>
      <w:r>
        <w:rPr>
          <w:rFonts w:hint="eastAsia" w:ascii="宋体" w:hAnsi="宋体"/>
          <w:szCs w:val="21"/>
          <w:highlight w:val="none"/>
        </w:rPr>
        <w:t>根据本</w:t>
      </w:r>
      <w:r>
        <w:rPr>
          <w:rFonts w:hint="eastAsia" w:ascii="宋体" w:hAnsi="宋体" w:cs="宋体"/>
          <w:szCs w:val="21"/>
          <w:highlight w:val="none"/>
        </w:rPr>
        <w:t>谈判</w:t>
      </w:r>
      <w:r>
        <w:rPr>
          <w:rFonts w:hint="eastAsia" w:ascii="宋体" w:hAnsi="宋体"/>
          <w:szCs w:val="21"/>
          <w:highlight w:val="none"/>
        </w:rPr>
        <w:t>文件</w:t>
      </w:r>
      <w:r>
        <w:rPr>
          <w:rFonts w:hint="eastAsia" w:hAnsi="宋体"/>
          <w:b/>
          <w:highlight w:val="none"/>
        </w:rPr>
        <w:t>前附表</w:t>
      </w:r>
      <w:r>
        <w:rPr>
          <w:rFonts w:hint="eastAsia" w:hAnsi="宋体"/>
          <w:highlight w:val="none"/>
        </w:rPr>
        <w:t>内</w:t>
      </w:r>
      <w:r>
        <w:rPr>
          <w:rFonts w:hint="eastAsia" w:ascii="宋体" w:hAnsi="宋体"/>
          <w:szCs w:val="21"/>
          <w:highlight w:val="none"/>
        </w:rPr>
        <w:t>规定的</w:t>
      </w:r>
      <w:r>
        <w:rPr>
          <w:rFonts w:hint="eastAsia" w:ascii="宋体" w:hAnsi="宋体" w:cs="宋体"/>
          <w:szCs w:val="21"/>
          <w:highlight w:val="none"/>
        </w:rPr>
        <w:t>谈判</w:t>
      </w:r>
      <w:r>
        <w:rPr>
          <w:rFonts w:hint="eastAsia" w:ascii="宋体" w:hAnsi="宋体"/>
          <w:szCs w:val="21"/>
          <w:highlight w:val="none"/>
        </w:rPr>
        <w:t>单位资格要求，对</w:t>
      </w:r>
      <w:r>
        <w:rPr>
          <w:rFonts w:hint="eastAsia" w:ascii="宋体" w:hAnsi="宋体" w:cs="宋体"/>
          <w:szCs w:val="21"/>
          <w:highlight w:val="none"/>
        </w:rPr>
        <w:t>谈判</w:t>
      </w:r>
      <w:r>
        <w:rPr>
          <w:rFonts w:hint="eastAsia" w:ascii="宋体" w:hAnsi="宋体"/>
          <w:szCs w:val="21"/>
          <w:highlight w:val="none"/>
        </w:rPr>
        <w:t>单位进行符合性审查，资格审查以</w:t>
      </w:r>
      <w:r>
        <w:rPr>
          <w:rFonts w:hint="eastAsia" w:ascii="宋体" w:hAnsi="宋体" w:cs="宋体"/>
          <w:szCs w:val="21"/>
          <w:highlight w:val="none"/>
        </w:rPr>
        <w:t>谈判</w:t>
      </w:r>
      <w:r>
        <w:rPr>
          <w:rFonts w:hint="eastAsia" w:ascii="宋体" w:hAnsi="宋体"/>
          <w:szCs w:val="21"/>
          <w:highlight w:val="none"/>
        </w:rPr>
        <w:t>单位递交的</w:t>
      </w:r>
      <w:r>
        <w:rPr>
          <w:rFonts w:hint="eastAsia" w:ascii="宋体" w:hAnsi="宋体"/>
          <w:b/>
          <w:bCs/>
          <w:szCs w:val="21"/>
          <w:highlight w:val="none"/>
        </w:rPr>
        <w:t>原件</w:t>
      </w:r>
      <w:r>
        <w:rPr>
          <w:rFonts w:hint="eastAsia" w:ascii="宋体" w:hAnsi="宋体"/>
          <w:b/>
          <w:bCs/>
          <w:szCs w:val="21"/>
          <w:highlight w:val="none"/>
          <w:lang w:eastAsia="zh-CN"/>
        </w:rPr>
        <w:t>或原件</w:t>
      </w:r>
      <w:r>
        <w:rPr>
          <w:rFonts w:hint="eastAsia" w:ascii="宋体" w:hAnsi="宋体"/>
          <w:b/>
          <w:bCs/>
          <w:szCs w:val="21"/>
          <w:highlight w:val="none"/>
        </w:rPr>
        <w:t>扫描件</w:t>
      </w:r>
      <w:r>
        <w:rPr>
          <w:rFonts w:hint="eastAsia" w:ascii="宋体" w:hAnsi="宋体"/>
          <w:b/>
          <w:szCs w:val="21"/>
          <w:highlight w:val="none"/>
          <w:lang w:eastAsia="zh-CN"/>
        </w:rPr>
        <w:t>打印版</w:t>
      </w:r>
      <w:r>
        <w:rPr>
          <w:rFonts w:hint="eastAsia" w:ascii="宋体" w:hAnsi="宋体"/>
          <w:szCs w:val="21"/>
          <w:highlight w:val="none"/>
        </w:rPr>
        <w:t>资料为准。</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rPr>
      </w:pPr>
      <w:r>
        <w:rPr>
          <w:rFonts w:hint="eastAsia" w:ascii="宋体" w:hAnsi="宋体" w:cs="宋体"/>
          <w:szCs w:val="21"/>
        </w:rPr>
        <w:t>4.1.2报价的符合性审查</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rPr>
      </w:pPr>
      <w:r>
        <w:rPr>
          <w:rFonts w:hint="eastAsia" w:ascii="宋体" w:hAnsi="宋体" w:cs="宋体"/>
          <w:szCs w:val="21"/>
        </w:rPr>
        <w:t>谈判评审小组根据谈判文件的规定，对</w:t>
      </w:r>
      <w:r>
        <w:rPr>
          <w:rFonts w:hint="eastAsia" w:ascii="宋体" w:hAnsi="宋体" w:cs="宋体"/>
          <w:color w:val="auto"/>
          <w:szCs w:val="21"/>
        </w:rPr>
        <w:t>谈判单位提交的响应文件（报价部分）的</w:t>
      </w:r>
      <w:r>
        <w:rPr>
          <w:rFonts w:hint="eastAsia" w:ascii="宋体" w:hAnsi="宋体" w:cs="宋体"/>
          <w:szCs w:val="21"/>
        </w:rPr>
        <w:t>有效性、完整性等进行符合性审查。</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rPr>
      </w:pPr>
      <w:r>
        <w:rPr>
          <w:rFonts w:hint="eastAsia" w:ascii="宋体" w:hAnsi="宋体" w:cs="宋体"/>
          <w:szCs w:val="21"/>
        </w:rPr>
        <w:t>4.1.3有下列情形之一的，为符合性审查不合格，视为无效响应，不进入下一阶段：</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b/>
          <w:bCs/>
          <w:szCs w:val="21"/>
        </w:rPr>
      </w:pPr>
      <w:r>
        <w:rPr>
          <w:rFonts w:hint="eastAsia" w:ascii="宋体" w:hAnsi="宋体"/>
          <w:szCs w:val="21"/>
        </w:rPr>
        <w:t>（1）未按照谈判文件规定要求签署盖章的。</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szCs w:val="21"/>
        </w:rPr>
      </w:pPr>
      <w:r>
        <w:rPr>
          <w:rFonts w:hint="eastAsia" w:ascii="宋体" w:hAnsi="宋体"/>
          <w:szCs w:val="21"/>
        </w:rPr>
        <w:t>（3）不满足资格条件要求的。</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szCs w:val="21"/>
        </w:rPr>
      </w:pPr>
      <w:r>
        <w:rPr>
          <w:rFonts w:hint="eastAsia" w:ascii="宋体" w:hAnsi="宋体"/>
          <w:szCs w:val="21"/>
        </w:rPr>
        <w:t>（4）不满足用户需求书要求的。</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szCs w:val="21"/>
        </w:rPr>
      </w:pPr>
      <w:r>
        <w:rPr>
          <w:rFonts w:hint="eastAsia" w:ascii="宋体" w:hAnsi="宋体"/>
          <w:szCs w:val="21"/>
        </w:rPr>
        <w:t>（5）</w:t>
      </w:r>
      <w:r>
        <w:rPr>
          <w:rFonts w:hint="eastAsia" w:ascii="宋体" w:hAnsi="宋体"/>
          <w:color w:val="auto"/>
          <w:szCs w:val="21"/>
          <w:highlight w:val="none"/>
        </w:rPr>
        <w:t>谈判单位所</w:t>
      </w:r>
      <w:r>
        <w:rPr>
          <w:rFonts w:hint="eastAsia" w:ascii="宋体" w:hAnsi="宋体" w:eastAsia="宋体" w:cs="宋体"/>
          <w:color w:val="auto"/>
          <w:sz w:val="21"/>
          <w:szCs w:val="21"/>
          <w:highlight w:val="none"/>
        </w:rPr>
        <w:t>报的</w:t>
      </w:r>
      <w:r>
        <w:rPr>
          <w:rFonts w:hint="eastAsia" w:ascii="宋体" w:hAnsi="宋体" w:eastAsia="宋体" w:cs="宋体"/>
          <w:color w:val="auto"/>
          <w:highlight w:val="none"/>
          <w:lang w:val="en-US" w:eastAsia="zh-CN"/>
        </w:rPr>
        <w:t>单价、含税总报价</w:t>
      </w:r>
      <w:r>
        <w:rPr>
          <w:rFonts w:hint="eastAsia" w:ascii="宋体" w:hAnsi="宋体" w:eastAsia="宋体" w:cs="宋体"/>
          <w:color w:val="auto"/>
          <w:sz w:val="21"/>
          <w:szCs w:val="21"/>
          <w:highlight w:val="none"/>
        </w:rPr>
        <w:t>超过</w:t>
      </w:r>
      <w:r>
        <w:rPr>
          <w:rFonts w:hint="eastAsia" w:ascii="宋体" w:hAnsi="宋体" w:cs="宋体"/>
          <w:strike w:val="0"/>
          <w:dstrike w:val="0"/>
          <w:color w:val="auto"/>
          <w:sz w:val="21"/>
          <w:szCs w:val="21"/>
          <w:highlight w:val="none"/>
          <w:lang w:eastAsia="zh-CN"/>
        </w:rPr>
        <w:t>谈判最高限价</w:t>
      </w:r>
      <w:r>
        <w:rPr>
          <w:rFonts w:hint="eastAsia" w:ascii="宋体" w:hAnsi="宋体" w:cs="宋体"/>
          <w:strike w:val="0"/>
          <w:dstrike w:val="0"/>
          <w:color w:val="auto"/>
          <w:sz w:val="21"/>
          <w:szCs w:val="21"/>
          <w:highlight w:val="none"/>
          <w:lang w:val="en-US" w:eastAsia="zh-CN"/>
        </w:rPr>
        <w:t>的。</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szCs w:val="21"/>
        </w:rPr>
      </w:pPr>
      <w:r>
        <w:rPr>
          <w:rFonts w:hint="eastAsia" w:ascii="宋体" w:hAnsi="宋体" w:cs="宋体"/>
          <w:kern w:val="0"/>
          <w:szCs w:val="21"/>
        </w:rPr>
        <w:t>（6）</w:t>
      </w:r>
      <w:r>
        <w:rPr>
          <w:rFonts w:hint="eastAsia" w:ascii="宋体" w:hAnsi="宋体"/>
          <w:szCs w:val="21"/>
        </w:rPr>
        <w:t>递交两份或多份内容不同的报价文件，或在一份报价文件中对同一项目报有两个或多个报价，且未声明哪一个有效的，谈判文件另有要求的除外。</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rPr>
      </w:pPr>
      <w:r>
        <w:rPr>
          <w:rFonts w:hint="eastAsia" w:ascii="宋体" w:hAnsi="宋体" w:cs="宋体"/>
          <w:szCs w:val="21"/>
        </w:rPr>
        <w:t>4.1.4算术错误修正</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rPr>
      </w:pPr>
      <w:r>
        <w:rPr>
          <w:rFonts w:hint="eastAsia" w:ascii="宋体" w:hAnsi="宋体" w:cs="宋体"/>
          <w:szCs w:val="21"/>
        </w:rPr>
        <w:t>谈判评审小组检查谈判单位的报价是否有算术错误，算术性错误分析和修正按以下原则进行，修正的价格经谈判单位进行确认后具有约束力。谈判单位不接受修正价格的，应当予以否决。</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rPr>
      </w:pPr>
      <w:r>
        <w:rPr>
          <w:rFonts w:hint="eastAsia" w:ascii="宋体" w:hAnsi="宋体" w:cs="宋体"/>
          <w:szCs w:val="21"/>
        </w:rPr>
        <w:t>（1）响应文件中的大写金额与小写金额不一致的，以大写金额为准。</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rPr>
      </w:pPr>
      <w:r>
        <w:rPr>
          <w:rFonts w:hint="eastAsia" w:ascii="宋体" w:hAnsi="宋体" w:cs="宋体"/>
          <w:szCs w:val="21"/>
        </w:rPr>
        <w:t>（2）总价金额与依据单价计算出的结果不一致的，以单价金额为准修正总价，但单价金额小数点有明显错误的除外。</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rPr>
      </w:pPr>
      <w:r>
        <w:rPr>
          <w:rFonts w:hint="eastAsia" w:ascii="宋体" w:hAnsi="宋体" w:cs="宋体"/>
          <w:szCs w:val="21"/>
        </w:rPr>
        <w:t>（3）总报价为各分项报价金额之和，总报价与分项报价的合价不一致的，应以各分项合价累计数为准，修正总报价。</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rPr>
      </w:pPr>
      <w:r>
        <w:rPr>
          <w:rFonts w:hint="eastAsia" w:ascii="宋体" w:hAnsi="宋体" w:cs="宋体"/>
          <w:szCs w:val="21"/>
        </w:rPr>
        <w:t>（4）如果分项报价中存在缺漏项，则视为缺漏项价格已包含在其他分项报价之中。</w:t>
      </w:r>
    </w:p>
    <w:p>
      <w:pPr>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rPr>
          <w:rFonts w:ascii="宋体" w:hAnsi="宋体" w:cs="宋体"/>
          <w:b/>
          <w:bCs/>
          <w:szCs w:val="21"/>
        </w:rPr>
      </w:pPr>
      <w:r>
        <w:rPr>
          <w:rFonts w:hint="eastAsia" w:ascii="宋体" w:hAnsi="宋体" w:cs="宋体"/>
          <w:b/>
          <w:szCs w:val="21"/>
        </w:rPr>
        <w:t>4.2</w:t>
      </w:r>
      <w:r>
        <w:rPr>
          <w:rFonts w:hint="eastAsia" w:ascii="宋体" w:hAnsi="宋体" w:cs="宋体"/>
          <w:b/>
          <w:bCs/>
          <w:szCs w:val="21"/>
        </w:rPr>
        <w:t>详细评审阶段</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kern w:val="0"/>
          <w:szCs w:val="21"/>
        </w:rPr>
      </w:pPr>
      <w:r>
        <w:rPr>
          <w:rFonts w:hint="eastAsia" w:ascii="宋体" w:hAnsi="宋体" w:cs="宋体"/>
          <w:kern w:val="0"/>
          <w:szCs w:val="21"/>
        </w:rPr>
        <w:t>4.2.1谈判评审小组应按以下要求对经符合性审查合格的谈判单位进行详细评审：</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以经谈判评审小组一致认定满足《竞争性谈判文件》要求且</w:t>
      </w:r>
      <w:bookmarkStart w:id="56" w:name="_Hlk70673845"/>
      <w:r>
        <w:rPr>
          <w:rFonts w:hint="eastAsia" w:ascii="宋体" w:hAnsi="宋体" w:cs="宋体"/>
          <w:b/>
          <w:bCs/>
          <w:kern w:val="0"/>
          <w:szCs w:val="21"/>
        </w:rPr>
        <w:t>谈判不含增值税总报价</w:t>
      </w:r>
      <w:bookmarkEnd w:id="56"/>
      <w:r>
        <w:rPr>
          <w:rFonts w:hint="eastAsia" w:ascii="宋体" w:hAnsi="宋体" w:cs="宋体"/>
          <w:kern w:val="0"/>
          <w:szCs w:val="21"/>
        </w:rPr>
        <w:t>最低的报价为基准价，其得分为满分。</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kern w:val="0"/>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其他有效单位的得分统一按下列公式计算（保留2位小数，第3位四舍五入）：谈判单位得分=(基准价／谈判不含增值税总报价)×100</w:t>
      </w:r>
    </w:p>
    <w:p>
      <w:pPr>
        <w:keepNext w:val="0"/>
        <w:keepLines w:val="0"/>
        <w:pageBreakBefore w:val="0"/>
        <w:kinsoku/>
        <w:wordWrap/>
        <w:overflowPunct/>
        <w:topLinePunct w:val="0"/>
        <w:autoSpaceDE/>
        <w:autoSpaceDN/>
        <w:bidi w:val="0"/>
        <w:adjustRightInd w:val="0"/>
        <w:snapToGrid w:val="0"/>
        <w:spacing w:line="360" w:lineRule="auto"/>
        <w:ind w:left="0" w:leftChars="0" w:firstLine="413" w:firstLineChars="196"/>
        <w:textAlignment w:val="auto"/>
        <w:rPr>
          <w:rFonts w:ascii="宋体" w:hAnsi="宋体" w:cs="宋体"/>
          <w:b/>
          <w:bCs/>
          <w:szCs w:val="21"/>
        </w:rPr>
      </w:pPr>
      <w:r>
        <w:rPr>
          <w:rFonts w:hint="eastAsia" w:ascii="宋体" w:hAnsi="宋体" w:cs="宋体"/>
          <w:b/>
          <w:bCs/>
          <w:szCs w:val="21"/>
        </w:rPr>
        <w:t>5.推荐中选单位</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kern w:val="0"/>
          <w:szCs w:val="21"/>
        </w:rPr>
      </w:pPr>
      <w:r>
        <w:rPr>
          <w:rFonts w:hint="eastAsia" w:ascii="宋体" w:hAnsi="宋体" w:cs="宋体"/>
          <w:kern w:val="0"/>
          <w:szCs w:val="21"/>
        </w:rPr>
        <w:t>5.1谈判评审小组应当在全部评审结束后，按照综合得分由高到低的顺序推荐</w:t>
      </w:r>
      <w:r>
        <w:rPr>
          <w:rFonts w:hint="eastAsia" w:ascii="宋体" w:hAnsi="宋体" w:cs="宋体"/>
          <w:szCs w:val="21"/>
          <w:shd w:val="clear" w:color="auto" w:fill="FFFFFF"/>
        </w:rPr>
        <w:t>不超过</w:t>
      </w:r>
      <w:r>
        <w:rPr>
          <w:rFonts w:hint="eastAsia" w:ascii="宋体" w:hAnsi="宋体" w:cs="宋体"/>
          <w:kern w:val="0"/>
          <w:szCs w:val="21"/>
        </w:rPr>
        <w:t>3名中选候选人，并填写评审报告。经</w:t>
      </w:r>
      <w:r>
        <w:rPr>
          <w:rFonts w:hint="eastAsia" w:ascii="宋体" w:hAnsi="宋体" w:cs="宋体"/>
          <w:color w:val="auto"/>
        </w:rPr>
        <w:t>对排名第一的中选候选人进行公示，且</w:t>
      </w:r>
      <w:r>
        <w:rPr>
          <w:rFonts w:hint="eastAsia" w:ascii="宋体" w:hAnsi="宋体" w:cs="宋体"/>
          <w:kern w:val="0"/>
          <w:szCs w:val="21"/>
        </w:rPr>
        <w:t>公示无异议后，确定排名第一的中选候选人为中选人。</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kern w:val="0"/>
          <w:szCs w:val="21"/>
        </w:rPr>
      </w:pPr>
      <w:r>
        <w:rPr>
          <w:rFonts w:hint="eastAsia" w:ascii="宋体" w:hAnsi="宋体" w:cs="宋体"/>
          <w:kern w:val="0"/>
          <w:szCs w:val="21"/>
        </w:rPr>
        <w:t>5.2全部评审结束后，若出现报价得分相同的情形，则采用现场抽签方式确定中选候选人。</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kern w:val="0"/>
          <w:szCs w:val="21"/>
        </w:rPr>
      </w:pPr>
      <w:r>
        <w:rPr>
          <w:rFonts w:hint="eastAsia" w:ascii="宋体" w:hAnsi="宋体" w:cs="宋体"/>
          <w:kern w:val="0"/>
          <w:szCs w:val="21"/>
        </w:rPr>
        <w:t>5.3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pStyle w:val="6"/>
        <w:keepNext w:val="0"/>
        <w:keepLines w:val="0"/>
        <w:pageBreakBefore w:val="0"/>
        <w:kinsoku/>
        <w:wordWrap/>
        <w:overflowPunct/>
        <w:topLinePunct w:val="0"/>
        <w:autoSpaceDE/>
        <w:autoSpaceDN/>
        <w:bidi w:val="0"/>
        <w:spacing w:line="360" w:lineRule="auto"/>
        <w:ind w:left="0" w:leftChars="0"/>
        <w:textAlignment w:val="auto"/>
        <w:rPr>
          <w:rFonts w:ascii="宋体" w:hAnsi="宋体" w:cs="宋体"/>
          <w:bCs w:val="0"/>
          <w:sz w:val="32"/>
          <w:szCs w:val="32"/>
        </w:rPr>
        <w:sectPr>
          <w:headerReference r:id="rId8" w:type="default"/>
          <w:footerReference r:id="rId9" w:type="default"/>
          <w:pgSz w:w="11906" w:h="16838"/>
          <w:pgMar w:top="2098" w:right="1474" w:bottom="1984" w:left="1587" w:header="851" w:footer="992" w:gutter="0"/>
          <w:pgNumType w:fmt="decimal"/>
          <w:cols w:space="0" w:num="1"/>
          <w:docGrid w:type="lines" w:linePitch="319" w:charSpace="0"/>
        </w:sectPr>
      </w:pPr>
      <w:bookmarkStart w:id="57" w:name="_Toc23442"/>
      <w:bookmarkStart w:id="58" w:name="_Toc18202"/>
      <w:bookmarkStart w:id="59" w:name="_Toc14891077"/>
      <w:bookmarkStart w:id="60" w:name="_Toc17562"/>
      <w:bookmarkStart w:id="61" w:name="_Toc17997"/>
    </w:p>
    <w:p>
      <w:pPr>
        <w:pStyle w:val="6"/>
        <w:keepNext w:val="0"/>
        <w:keepLines w:val="0"/>
        <w:pageBreakBefore w:val="0"/>
        <w:kinsoku/>
        <w:wordWrap/>
        <w:overflowPunct/>
        <w:topLinePunct w:val="0"/>
        <w:autoSpaceDE/>
        <w:autoSpaceDN/>
        <w:bidi w:val="0"/>
        <w:spacing w:line="360" w:lineRule="auto"/>
        <w:ind w:left="0" w:leftChars="0"/>
        <w:textAlignment w:val="auto"/>
        <w:rPr>
          <w:rFonts w:ascii="宋体" w:hAnsi="宋体" w:cs="宋体"/>
          <w:bCs w:val="0"/>
          <w:sz w:val="32"/>
          <w:szCs w:val="32"/>
        </w:rPr>
      </w:pPr>
      <w:bookmarkStart w:id="62" w:name="_Toc5922"/>
      <w:r>
        <w:rPr>
          <w:rFonts w:hint="eastAsia" w:ascii="宋体" w:hAnsi="宋体" w:cs="宋体"/>
          <w:bCs w:val="0"/>
          <w:sz w:val="32"/>
          <w:szCs w:val="32"/>
        </w:rPr>
        <w:t>第四章  用户需求书</w:t>
      </w:r>
      <w:bookmarkEnd w:id="57"/>
      <w:bookmarkEnd w:id="58"/>
      <w:bookmarkEnd w:id="59"/>
      <w:bookmarkEnd w:id="60"/>
      <w:bookmarkEnd w:id="61"/>
      <w:r>
        <w:rPr>
          <w:rFonts w:hint="eastAsia" w:ascii="宋体" w:hAnsi="宋体" w:cs="宋体"/>
          <w:bCs w:val="0"/>
          <w:sz w:val="32"/>
          <w:szCs w:val="32"/>
        </w:rPr>
        <w:t>（另册）</w:t>
      </w:r>
      <w:bookmarkEnd w:id="62"/>
    </w:p>
    <w:p>
      <w:pPr>
        <w:keepNext w:val="0"/>
        <w:keepLines w:val="0"/>
        <w:pageBreakBefore w:val="0"/>
        <w:kinsoku/>
        <w:wordWrap/>
        <w:overflowPunct/>
        <w:topLinePunct w:val="0"/>
        <w:autoSpaceDE/>
        <w:autoSpaceDN/>
        <w:bidi w:val="0"/>
        <w:spacing w:line="360" w:lineRule="auto"/>
        <w:ind w:left="0" w:leftChars="0"/>
        <w:textAlignment w:val="auto"/>
      </w:pP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rPr>
      </w:pPr>
      <w:r>
        <w:rPr>
          <w:rFonts w:hint="eastAsia" w:ascii="宋体" w:hAnsi="宋体" w:cs="宋体"/>
        </w:rPr>
        <w:t>用户需求书详见本项目谈判邀请公告附件：</w:t>
      </w:r>
      <w:r>
        <w:rPr>
          <w:rFonts w:hint="eastAsia" w:ascii="宋体" w:hAnsi="宋体" w:cs="宋体"/>
          <w:u w:val="single"/>
        </w:rPr>
        <w:t>长沙市轨道交通2号线电客车首轮大修、4号线电客车首轮架修概算编制咨询服务项目</w:t>
      </w:r>
      <w:r>
        <w:rPr>
          <w:rFonts w:hint="eastAsia" w:ascii="宋体" w:hAnsi="宋体" w:cs="宋体"/>
        </w:rPr>
        <w:t>用户需求书。</w:t>
      </w:r>
    </w:p>
    <w:p>
      <w:pPr>
        <w:keepNext w:val="0"/>
        <w:keepLines w:val="0"/>
        <w:pageBreakBefore w:val="0"/>
        <w:kinsoku/>
        <w:wordWrap/>
        <w:overflowPunct/>
        <w:topLinePunct w:val="0"/>
        <w:autoSpaceDE/>
        <w:autoSpaceDN/>
        <w:bidi w:val="0"/>
        <w:spacing w:line="360" w:lineRule="auto"/>
        <w:ind w:left="0" w:leftChars="0"/>
        <w:textAlignment w:val="auto"/>
      </w:pPr>
    </w:p>
    <w:p>
      <w:pPr>
        <w:keepNext w:val="0"/>
        <w:keepLines w:val="0"/>
        <w:pageBreakBefore w:val="0"/>
        <w:kinsoku/>
        <w:wordWrap/>
        <w:overflowPunct/>
        <w:topLinePunct w:val="0"/>
        <w:autoSpaceDE/>
        <w:autoSpaceDN/>
        <w:bidi w:val="0"/>
        <w:spacing w:line="360" w:lineRule="auto"/>
        <w:ind w:left="0" w:leftChars="0"/>
        <w:textAlignment w:val="auto"/>
        <w:sectPr>
          <w:pgSz w:w="11906" w:h="16838"/>
          <w:pgMar w:top="2098" w:right="1474" w:bottom="1984" w:left="1587" w:header="851" w:footer="992" w:gutter="0"/>
          <w:pgNumType w:fmt="decimal"/>
          <w:cols w:space="0" w:num="1"/>
          <w:docGrid w:type="lines" w:linePitch="319" w:charSpace="0"/>
        </w:sectPr>
      </w:pPr>
    </w:p>
    <w:p>
      <w:pPr>
        <w:pStyle w:val="6"/>
        <w:keepNext w:val="0"/>
        <w:keepLines w:val="0"/>
        <w:pageBreakBefore w:val="0"/>
        <w:kinsoku/>
        <w:wordWrap/>
        <w:overflowPunct/>
        <w:topLinePunct w:val="0"/>
        <w:autoSpaceDE/>
        <w:autoSpaceDN/>
        <w:bidi w:val="0"/>
        <w:spacing w:line="360" w:lineRule="auto"/>
        <w:ind w:left="0" w:leftChars="0"/>
        <w:textAlignment w:val="auto"/>
        <w:rPr>
          <w:rFonts w:hint="eastAsia" w:ascii="宋体" w:hAnsi="宋体" w:eastAsia="宋体" w:cs="宋体"/>
          <w:bCs w:val="0"/>
          <w:sz w:val="32"/>
          <w:szCs w:val="32"/>
        </w:rPr>
      </w:pPr>
      <w:bookmarkStart w:id="63" w:name="_Toc31851"/>
      <w:bookmarkStart w:id="64" w:name="_Toc26058"/>
      <w:bookmarkStart w:id="65" w:name="_Toc22262"/>
      <w:bookmarkStart w:id="66" w:name="_Toc19554"/>
      <w:bookmarkStart w:id="67" w:name="_Toc17441"/>
      <w:bookmarkStart w:id="68" w:name="_Toc13521"/>
      <w:bookmarkStart w:id="69" w:name="_Toc14891078"/>
      <w:r>
        <w:rPr>
          <w:rFonts w:hint="eastAsia" w:ascii="宋体" w:hAnsi="宋体" w:eastAsia="宋体" w:cs="宋体"/>
          <w:bCs w:val="0"/>
          <w:sz w:val="32"/>
          <w:szCs w:val="32"/>
          <w:lang w:eastAsia="zh-CN"/>
        </w:rPr>
        <w:t>第五章</w:t>
      </w:r>
      <w:r>
        <w:rPr>
          <w:rFonts w:hint="eastAsia" w:ascii="宋体" w:hAnsi="宋体" w:eastAsia="宋体" w:cs="宋体"/>
          <w:bCs w:val="0"/>
          <w:sz w:val="32"/>
          <w:szCs w:val="32"/>
          <w:lang w:val="en-US" w:eastAsia="zh-CN"/>
        </w:rPr>
        <w:t xml:space="preserve"> </w:t>
      </w:r>
      <w:r>
        <w:rPr>
          <w:rFonts w:hint="eastAsia" w:ascii="宋体" w:hAnsi="宋体" w:eastAsia="宋体" w:cs="宋体"/>
          <w:bCs w:val="0"/>
          <w:sz w:val="32"/>
          <w:szCs w:val="32"/>
        </w:rPr>
        <w:t xml:space="preserve"> 谈判最高限价</w:t>
      </w:r>
      <w:bookmarkEnd w:id="63"/>
      <w:bookmarkEnd w:id="64"/>
    </w:p>
    <w:p>
      <w:pPr>
        <w:keepNext w:val="0"/>
        <w:keepLines w:val="0"/>
        <w:pageBreakBefore w:val="0"/>
        <w:numPr>
          <w:ilvl w:val="0"/>
          <w:numId w:val="0"/>
        </w:numPr>
        <w:kinsoku/>
        <w:wordWrap/>
        <w:overflowPunct/>
        <w:topLinePunct w:val="0"/>
        <w:autoSpaceDE/>
        <w:autoSpaceDN/>
        <w:bidi w:val="0"/>
        <w:spacing w:line="360" w:lineRule="auto"/>
        <w:ind w:left="0" w:leftChars="0"/>
        <w:textAlignment w:val="auto"/>
      </w:pP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关于长沙市轨道交通2号线电客车首轮大修、4号线电客车首轮架修概算编制咨询服务项目最高限价的公示说明</w:t>
      </w:r>
    </w:p>
    <w:p>
      <w:pPr>
        <w:pStyle w:val="2"/>
        <w:keepNext w:val="0"/>
        <w:keepLines w:val="0"/>
        <w:pageBreakBefore w:val="0"/>
        <w:kinsoku/>
        <w:wordWrap/>
        <w:overflowPunct/>
        <w:topLinePunct w:val="0"/>
        <w:autoSpaceDE/>
        <w:autoSpaceDN/>
        <w:bidi w:val="0"/>
        <w:spacing w:after="0" w:line="360" w:lineRule="auto"/>
        <w:ind w:left="0" w:leftChars="0"/>
        <w:textAlignment w:val="auto"/>
      </w:pP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hint="default" w:ascii="宋体" w:hAnsi="宋体" w:cs="宋体"/>
          <w:kern w:val="0"/>
          <w:szCs w:val="21"/>
          <w:lang w:val="en-US"/>
        </w:rPr>
      </w:pPr>
      <w:r>
        <w:rPr>
          <w:rFonts w:hint="eastAsia" w:ascii="宋体" w:hAnsi="宋体" w:cs="宋体"/>
          <w:kern w:val="0"/>
          <w:szCs w:val="21"/>
          <w:lang w:val="en-US" w:eastAsia="zh-CN"/>
        </w:rPr>
        <w:t>一、长沙市轨道交通2号线电客车首轮大修、4号线电客车首轮架修概算编制咨询服务项目最高限价（含税）为208573.44元。</w:t>
      </w:r>
      <w:r>
        <w:rPr>
          <w:rFonts w:hint="eastAsia" w:ascii="宋体" w:hAnsi="宋体" w:cs="宋体"/>
          <w:kern w:val="0"/>
          <w:szCs w:val="21"/>
        </w:rPr>
        <w:t>总报价（含税）不得高于公示的最高限价。</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二、最高限价（含税）包含项目实施过程按相关法律政策征收的一切税费、管理费、保险费、利润以及其他一切与该项目实施有关的所有费用。</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三、本项目具体工作内容以用户需求书为准，合同价格不随政府政策及市场物价上涨或回落等因素调整（税金除外）。请谈判单位依据用户需求书并充分考虑各项上涨因素后自行报价。</w:t>
      </w:r>
    </w:p>
    <w:p>
      <w:pPr>
        <w:pStyle w:val="2"/>
        <w:keepNext w:val="0"/>
        <w:keepLines w:val="0"/>
        <w:pageBreakBefore w:val="0"/>
        <w:kinsoku/>
        <w:wordWrap/>
        <w:overflowPunct/>
        <w:topLinePunct w:val="0"/>
        <w:autoSpaceDE/>
        <w:autoSpaceDN/>
        <w:bidi w:val="0"/>
        <w:spacing w:after="0" w:line="360" w:lineRule="auto"/>
        <w:ind w:left="0" w:leftChars="0"/>
        <w:textAlignment w:val="auto"/>
      </w:pPr>
    </w:p>
    <w:p>
      <w:pPr>
        <w:pStyle w:val="2"/>
        <w:keepNext w:val="0"/>
        <w:keepLines w:val="0"/>
        <w:pageBreakBefore w:val="0"/>
        <w:kinsoku/>
        <w:wordWrap/>
        <w:overflowPunct/>
        <w:topLinePunct w:val="0"/>
        <w:autoSpaceDE/>
        <w:autoSpaceDN/>
        <w:bidi w:val="0"/>
        <w:spacing w:after="0" w:line="360" w:lineRule="auto"/>
        <w:ind w:left="0" w:leftChars="0"/>
        <w:textAlignment w:val="auto"/>
        <w:sectPr>
          <w:pgSz w:w="11906" w:h="16838"/>
          <w:pgMar w:top="2098" w:right="1474" w:bottom="1984" w:left="1587" w:header="851" w:footer="992" w:gutter="0"/>
          <w:pgNumType w:fmt="decimal"/>
          <w:cols w:space="0" w:num="1"/>
          <w:docGrid w:type="lines" w:linePitch="319" w:charSpace="0"/>
        </w:sectPr>
      </w:pPr>
    </w:p>
    <w:p>
      <w:pPr>
        <w:pStyle w:val="6"/>
        <w:keepNext w:val="0"/>
        <w:rPr>
          <w:rFonts w:ascii="宋体" w:hAnsi="宋体" w:cs="宋体"/>
          <w:bCs w:val="0"/>
          <w:color w:val="FF0000"/>
          <w:sz w:val="32"/>
          <w:szCs w:val="32"/>
        </w:rPr>
      </w:pPr>
      <w:bookmarkStart w:id="70" w:name="_Toc1188"/>
      <w:r>
        <w:rPr>
          <w:rFonts w:hint="eastAsia" w:ascii="宋体" w:hAnsi="宋体" w:cs="宋体"/>
          <w:bCs w:val="0"/>
          <w:sz w:val="32"/>
          <w:szCs w:val="32"/>
        </w:rPr>
        <w:t>第六章  合同格式条款</w:t>
      </w:r>
      <w:bookmarkEnd w:id="65"/>
      <w:bookmarkEnd w:id="66"/>
      <w:bookmarkEnd w:id="67"/>
      <w:bookmarkEnd w:id="68"/>
      <w:bookmarkEnd w:id="69"/>
      <w:bookmarkEnd w:id="70"/>
    </w:p>
    <w:p>
      <w:pPr>
        <w:keepNext w:val="0"/>
        <w:keepLines w:val="0"/>
        <w:pageBreakBefore w:val="0"/>
        <w:widowControl w:val="0"/>
        <w:kinsoku/>
        <w:wordWrap/>
        <w:overflowPunct/>
        <w:topLinePunct w:val="0"/>
        <w:autoSpaceDE/>
        <w:autoSpaceDN/>
        <w:bidi w:val="0"/>
        <w:snapToGrid w:val="0"/>
        <w:spacing w:line="360" w:lineRule="auto"/>
        <w:jc w:val="center"/>
        <w:textAlignment w:val="auto"/>
        <w:outlineLvl w:val="9"/>
        <w:rPr>
          <w:rFonts w:ascii="宋体" w:hAnsi="宋体" w:cs="宋体"/>
          <w:b/>
          <w:sz w:val="32"/>
          <w:szCs w:val="32"/>
        </w:rPr>
      </w:pPr>
      <w:bookmarkStart w:id="71" w:name="_Toc5097"/>
      <w:bookmarkStart w:id="72" w:name="_Toc18525"/>
      <w:bookmarkStart w:id="73" w:name="_Toc29654"/>
      <w:bookmarkStart w:id="74" w:name="_Toc20891"/>
    </w:p>
    <w:p>
      <w:pPr>
        <w:keepNext w:val="0"/>
        <w:keepLines w:val="0"/>
        <w:pageBreakBefore w:val="0"/>
        <w:widowControl w:val="0"/>
        <w:kinsoku/>
        <w:wordWrap/>
        <w:overflowPunct/>
        <w:topLinePunct w:val="0"/>
        <w:autoSpaceDE/>
        <w:autoSpaceDN/>
        <w:bidi w:val="0"/>
        <w:jc w:val="right"/>
        <w:textAlignment w:val="auto"/>
        <w:outlineLvl w:val="9"/>
        <w:rPr>
          <w:rFonts w:ascii="仿宋_GB2312" w:hAnsi="仿宋_GB2312" w:eastAsia="仿宋_GB2312" w:cs="仿宋_GB2312"/>
          <w:sz w:val="28"/>
        </w:rPr>
      </w:pPr>
      <w:r>
        <w:rPr>
          <w:rFonts w:hint="eastAsia" w:ascii="仿宋_GB2312" w:hAnsi="仿宋_GB2312" w:eastAsia="仿宋_GB2312" w:cs="仿宋_GB2312"/>
          <w:b/>
          <w:sz w:val="24"/>
        </w:rPr>
        <w:t xml:space="preserve"> 合同编号：</w:t>
      </w:r>
      <w:r>
        <w:rPr>
          <w:rFonts w:hint="eastAsia" w:ascii="仿宋_GB2312" w:hAnsi="仿宋_GB2312" w:eastAsia="仿宋_GB2312" w:cs="仿宋_GB2312"/>
          <w:sz w:val="24"/>
          <w:u w:val="dotted"/>
        </w:rPr>
        <w:t xml:space="preserve">          合同【20   】   号</w:t>
      </w:r>
    </w:p>
    <w:p>
      <w:pPr>
        <w:keepNext w:val="0"/>
        <w:keepLines w:val="0"/>
        <w:pageBreakBefore w:val="0"/>
        <w:widowControl w:val="0"/>
        <w:kinsoku/>
        <w:wordWrap/>
        <w:overflowPunct/>
        <w:topLinePunct w:val="0"/>
        <w:autoSpaceDE/>
        <w:autoSpaceDN/>
        <w:bidi w:val="0"/>
        <w:spacing w:before="100" w:beforeAutospacing="1" w:after="100" w:afterAutospacing="1"/>
        <w:jc w:val="center"/>
        <w:textAlignment w:val="auto"/>
        <w:outlineLvl w:val="9"/>
        <w:rPr>
          <w:rFonts w:hint="eastAsia" w:ascii="仿宋_GB2312" w:hAnsi="仿宋_GB2312" w:eastAsia="仿宋_GB2312" w:cs="仿宋_GB2312"/>
          <w:b/>
          <w:bCs/>
          <w:spacing w:val="30"/>
          <w:sz w:val="28"/>
          <w:szCs w:val="28"/>
          <w:highlight w:val="none"/>
        </w:rPr>
      </w:pPr>
    </w:p>
    <w:p>
      <w:pPr>
        <w:keepNext w:val="0"/>
        <w:keepLines w:val="0"/>
        <w:pageBreakBefore w:val="0"/>
        <w:widowControl w:val="0"/>
        <w:kinsoku/>
        <w:wordWrap/>
        <w:overflowPunct/>
        <w:topLinePunct w:val="0"/>
        <w:autoSpaceDE/>
        <w:autoSpaceDN/>
        <w:bidi w:val="0"/>
        <w:spacing w:before="100" w:beforeAutospacing="1" w:after="100" w:afterAutospacing="1"/>
        <w:jc w:val="center"/>
        <w:textAlignment w:val="auto"/>
        <w:outlineLvl w:val="9"/>
        <w:rPr>
          <w:rFonts w:hint="eastAsia" w:ascii="仿宋_GB2312" w:hAnsi="仿宋_GB2312" w:eastAsia="仿宋_GB2312" w:cs="仿宋_GB2312"/>
          <w:b/>
          <w:bCs/>
          <w:spacing w:val="30"/>
          <w:sz w:val="28"/>
          <w:szCs w:val="28"/>
          <w:highlight w:val="none"/>
        </w:rPr>
      </w:pPr>
    </w:p>
    <w:p>
      <w:pPr>
        <w:keepNext w:val="0"/>
        <w:keepLines w:val="0"/>
        <w:pageBreakBefore w:val="0"/>
        <w:widowControl w:val="0"/>
        <w:kinsoku/>
        <w:wordWrap/>
        <w:overflowPunct/>
        <w:topLinePunct w:val="0"/>
        <w:autoSpaceDE/>
        <w:autoSpaceDN/>
        <w:bidi w:val="0"/>
        <w:snapToGrid w:val="0"/>
        <w:jc w:val="center"/>
        <w:textAlignment w:val="auto"/>
        <w:outlineLvl w:val="9"/>
        <w:rPr>
          <w:rFonts w:hint="eastAsia" w:ascii="仿宋_GB2312" w:hAnsi="仿宋_GB2312" w:eastAsia="仿宋_GB2312" w:cs="仿宋_GB2312"/>
          <w:b/>
          <w:sz w:val="28"/>
          <w:szCs w:val="28"/>
          <w:highlight w:val="none"/>
        </w:rPr>
      </w:pPr>
    </w:p>
    <w:p>
      <w:pPr>
        <w:keepNext w:val="0"/>
        <w:keepLines w:val="0"/>
        <w:pageBreakBefore w:val="0"/>
        <w:widowControl w:val="0"/>
        <w:kinsoku/>
        <w:wordWrap/>
        <w:overflowPunct/>
        <w:topLinePunct w:val="0"/>
        <w:autoSpaceDE/>
        <w:autoSpaceDN/>
        <w:bidi w:val="0"/>
        <w:snapToGrid w:val="0"/>
        <w:jc w:val="center"/>
        <w:textAlignment w:val="auto"/>
        <w:outlineLvl w:val="9"/>
        <w:rPr>
          <w:rFonts w:hint="eastAsia" w:ascii="仿宋_GB2312" w:hAnsi="仿宋_GB2312" w:eastAsia="仿宋_GB2312" w:cs="仿宋_GB2312"/>
          <w:b/>
          <w:sz w:val="52"/>
          <w:szCs w:val="52"/>
          <w:highlight w:val="none"/>
        </w:rPr>
      </w:pPr>
      <w:r>
        <w:rPr>
          <w:rFonts w:hint="eastAsia" w:ascii="仿宋_GB2312" w:hAnsi="仿宋_GB2312" w:eastAsia="仿宋_GB2312" w:cs="仿宋_GB2312"/>
          <w:b/>
          <w:sz w:val="52"/>
          <w:szCs w:val="52"/>
          <w:highlight w:val="none"/>
        </w:rPr>
        <w:t>咨询服务合同</w:t>
      </w:r>
    </w:p>
    <w:p>
      <w:pPr>
        <w:keepNext w:val="0"/>
        <w:keepLines w:val="0"/>
        <w:pageBreakBefore w:val="0"/>
        <w:widowControl w:val="0"/>
        <w:kinsoku/>
        <w:wordWrap/>
        <w:overflowPunct/>
        <w:topLinePunct w:val="0"/>
        <w:autoSpaceDE/>
        <w:autoSpaceDN/>
        <w:bidi w:val="0"/>
        <w:snapToGrid w:val="0"/>
        <w:jc w:val="center"/>
        <w:textAlignment w:val="auto"/>
        <w:outlineLvl w:val="9"/>
        <w:rPr>
          <w:rFonts w:hint="eastAsia" w:ascii="仿宋_GB2312" w:hAnsi="仿宋_GB2312" w:eastAsia="仿宋_GB2312" w:cs="仿宋_GB2312"/>
          <w:b/>
          <w:sz w:val="52"/>
          <w:szCs w:val="52"/>
          <w:highlight w:val="none"/>
        </w:rPr>
      </w:pPr>
    </w:p>
    <w:p>
      <w:pPr>
        <w:keepNext w:val="0"/>
        <w:keepLines w:val="0"/>
        <w:pageBreakBefore w:val="0"/>
        <w:widowControl w:val="0"/>
        <w:kinsoku/>
        <w:wordWrap/>
        <w:overflowPunct/>
        <w:topLinePunct w:val="0"/>
        <w:autoSpaceDE/>
        <w:autoSpaceDN/>
        <w:bidi w:val="0"/>
        <w:snapToGrid w:val="0"/>
        <w:jc w:val="center"/>
        <w:textAlignment w:val="auto"/>
        <w:outlineLvl w:val="9"/>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ind w:firstLine="1445" w:firstLineChars="514"/>
        <w:textAlignment w:val="auto"/>
        <w:outlineLvl w:val="9"/>
        <w:rPr>
          <w:rFonts w:hint="eastAsia" w:ascii="仿宋_GB2312" w:hAnsi="仿宋_GB2312" w:eastAsia="仿宋_GB2312" w:cs="仿宋_GB2312"/>
          <w:b/>
          <w:sz w:val="28"/>
          <w:szCs w:val="28"/>
          <w:highlight w:val="none"/>
        </w:rPr>
      </w:pPr>
    </w:p>
    <w:p>
      <w:pPr>
        <w:keepNext w:val="0"/>
        <w:keepLines w:val="0"/>
        <w:pageBreakBefore w:val="0"/>
        <w:widowControl w:val="0"/>
        <w:kinsoku/>
        <w:wordWrap/>
        <w:overflowPunct/>
        <w:topLinePunct w:val="0"/>
        <w:autoSpaceDE/>
        <w:autoSpaceDN/>
        <w:bidi w:val="0"/>
        <w:ind w:firstLine="1445" w:firstLineChars="514"/>
        <w:textAlignment w:val="auto"/>
        <w:outlineLvl w:val="9"/>
        <w:rPr>
          <w:rFonts w:hint="eastAsia" w:ascii="仿宋_GB2312" w:hAnsi="仿宋_GB2312" w:eastAsia="仿宋_GB2312" w:cs="仿宋_GB2312"/>
          <w:b/>
          <w:sz w:val="28"/>
          <w:szCs w:val="28"/>
          <w:highlight w:val="none"/>
        </w:rPr>
      </w:pPr>
    </w:p>
    <w:p>
      <w:pPr>
        <w:keepNext w:val="0"/>
        <w:keepLines w:val="0"/>
        <w:pageBreakBefore w:val="0"/>
        <w:widowControl w:val="0"/>
        <w:kinsoku/>
        <w:wordWrap/>
        <w:overflowPunct/>
        <w:topLinePunct w:val="0"/>
        <w:autoSpaceDE/>
        <w:autoSpaceDN/>
        <w:bidi w:val="0"/>
        <w:ind w:firstLine="1445" w:firstLineChars="514"/>
        <w:textAlignment w:val="auto"/>
        <w:outlineLvl w:val="9"/>
        <w:rPr>
          <w:rFonts w:hint="eastAsia" w:ascii="仿宋_GB2312" w:hAnsi="仿宋_GB2312" w:eastAsia="仿宋_GB2312" w:cs="仿宋_GB2312"/>
          <w:b/>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835" w:firstLineChars="297"/>
        <w:textAlignment w:val="auto"/>
        <w:outlineLvl w:val="9"/>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项目名称：</w:t>
      </w:r>
      <w:r>
        <w:rPr>
          <w:rFonts w:hint="eastAsia" w:ascii="仿宋_GB2312" w:hAnsi="仿宋_GB2312" w:eastAsia="仿宋_GB2312" w:cs="仿宋_GB2312"/>
          <w:b/>
          <w:sz w:val="28"/>
          <w:szCs w:val="28"/>
          <w:highlight w:val="none"/>
          <w:u w:val="dotted"/>
        </w:rPr>
        <w:t>长沙市轨道交通2号线电客车首轮大修、4号线电客车首轮架修概算编制咨询服务项目</w:t>
      </w:r>
    </w:p>
    <w:p>
      <w:pPr>
        <w:keepNext w:val="0"/>
        <w:keepLines w:val="0"/>
        <w:pageBreakBefore w:val="0"/>
        <w:widowControl w:val="0"/>
        <w:kinsoku/>
        <w:wordWrap/>
        <w:overflowPunct/>
        <w:topLinePunct w:val="0"/>
        <w:autoSpaceDE/>
        <w:autoSpaceDN/>
        <w:bidi w:val="0"/>
        <w:adjustRightInd w:val="0"/>
        <w:snapToGrid w:val="0"/>
        <w:spacing w:line="360" w:lineRule="auto"/>
        <w:ind w:firstLine="835" w:firstLineChars="297"/>
        <w:textAlignment w:val="auto"/>
        <w:outlineLvl w:val="9"/>
        <w:rPr>
          <w:rFonts w:hint="eastAsia" w:ascii="仿宋_GB2312" w:hAnsi="仿宋_GB2312" w:eastAsia="仿宋_GB2312" w:cs="仿宋_GB2312"/>
          <w:b/>
          <w:sz w:val="28"/>
          <w:szCs w:val="28"/>
          <w:highlight w:val="none"/>
          <w:u w:val="dotted"/>
        </w:rPr>
      </w:pPr>
    </w:p>
    <w:p>
      <w:pPr>
        <w:keepNext w:val="0"/>
        <w:keepLines w:val="0"/>
        <w:pageBreakBefore w:val="0"/>
        <w:widowControl w:val="0"/>
        <w:kinsoku/>
        <w:wordWrap/>
        <w:overflowPunct/>
        <w:topLinePunct w:val="0"/>
        <w:autoSpaceDE/>
        <w:autoSpaceDN/>
        <w:bidi w:val="0"/>
        <w:adjustRightInd w:val="0"/>
        <w:snapToGrid w:val="0"/>
        <w:spacing w:line="360" w:lineRule="auto"/>
        <w:ind w:firstLine="835" w:firstLineChars="297"/>
        <w:textAlignment w:val="auto"/>
        <w:outlineLvl w:val="9"/>
        <w:rPr>
          <w:rFonts w:hint="eastAsia"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项目地点：</w:t>
      </w:r>
      <w:r>
        <w:rPr>
          <w:rFonts w:hint="eastAsia" w:ascii="仿宋_GB2312" w:hAnsi="仿宋_GB2312" w:eastAsia="仿宋_GB2312" w:cs="仿宋_GB2312"/>
          <w:b/>
          <w:sz w:val="28"/>
          <w:szCs w:val="28"/>
          <w:highlight w:val="none"/>
          <w:u w:val="dotted"/>
        </w:rPr>
        <w:t xml:space="preserve">           湖南省长沙市              </w:t>
      </w:r>
    </w:p>
    <w:p>
      <w:pPr>
        <w:keepNext w:val="0"/>
        <w:keepLines w:val="0"/>
        <w:pageBreakBefore w:val="0"/>
        <w:widowControl w:val="0"/>
        <w:kinsoku/>
        <w:wordWrap/>
        <w:overflowPunct/>
        <w:topLinePunct w:val="0"/>
        <w:autoSpaceDE/>
        <w:autoSpaceDN/>
        <w:bidi w:val="0"/>
        <w:adjustRightInd w:val="0"/>
        <w:snapToGrid w:val="0"/>
        <w:spacing w:line="360" w:lineRule="auto"/>
        <w:ind w:firstLine="1344" w:firstLineChars="478"/>
        <w:textAlignment w:val="auto"/>
        <w:outlineLvl w:val="9"/>
        <w:rPr>
          <w:rFonts w:hint="eastAsia" w:ascii="仿宋_GB2312" w:hAnsi="仿宋_GB2312" w:eastAsia="仿宋_GB2312" w:cs="仿宋_GB2312"/>
          <w:b/>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835" w:firstLineChars="297"/>
        <w:textAlignment w:val="auto"/>
        <w:outlineLvl w:val="9"/>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委 托 方：</w:t>
      </w:r>
      <w:r>
        <w:rPr>
          <w:rFonts w:hint="eastAsia" w:ascii="仿宋_GB2312" w:hAnsi="仿宋_GB2312" w:eastAsia="仿宋_GB2312" w:cs="仿宋_GB2312"/>
          <w:b/>
          <w:sz w:val="28"/>
          <w:szCs w:val="28"/>
          <w:highlight w:val="none"/>
          <w:u w:val="dotted"/>
        </w:rPr>
        <w:t>长沙市轨道交通运营有限公司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835" w:firstLineChars="297"/>
        <w:textAlignment w:val="auto"/>
        <w:outlineLvl w:val="9"/>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u w:val="dotted"/>
        </w:rPr>
        <w:t>长沙市轨道交通四号线建设发展有限公司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1344" w:firstLineChars="478"/>
        <w:textAlignment w:val="auto"/>
        <w:outlineLvl w:val="9"/>
        <w:rPr>
          <w:rFonts w:hint="eastAsia" w:ascii="仿宋_GB2312" w:hAnsi="仿宋_GB2312" w:eastAsia="仿宋_GB2312" w:cs="仿宋_GB2312"/>
          <w:b/>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835" w:firstLineChars="297"/>
        <w:textAlignment w:val="auto"/>
        <w:outlineLvl w:val="9"/>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受 托 方：</w:t>
      </w:r>
      <w:r>
        <w:rPr>
          <w:rFonts w:hint="eastAsia" w:ascii="仿宋_GB2312" w:hAnsi="仿宋_GB2312" w:eastAsia="仿宋_GB2312" w:cs="仿宋_GB2312"/>
          <w:b/>
          <w:sz w:val="28"/>
          <w:szCs w:val="28"/>
          <w:highlight w:val="none"/>
          <w:u w:val="dotted"/>
        </w:rPr>
        <w:t xml:space="preserve">                                     </w:t>
      </w:r>
    </w:p>
    <w:p>
      <w:pPr>
        <w:keepNext w:val="0"/>
        <w:keepLines w:val="0"/>
        <w:pageBreakBefore w:val="0"/>
        <w:widowControl w:val="0"/>
        <w:tabs>
          <w:tab w:val="left" w:pos="2580"/>
          <w:tab w:val="center" w:pos="5121"/>
        </w:tabs>
        <w:kinsoku/>
        <w:wordWrap/>
        <w:overflowPunct/>
        <w:topLinePunct w:val="0"/>
        <w:autoSpaceDE/>
        <w:autoSpaceDN/>
        <w:bidi w:val="0"/>
        <w:snapToGrid w:val="0"/>
        <w:spacing w:line="360" w:lineRule="auto"/>
        <w:jc w:val="center"/>
        <w:textAlignment w:val="auto"/>
        <w:outlineLvl w:val="9"/>
        <w:rPr>
          <w:rFonts w:hint="eastAsia" w:ascii="仿宋_GB2312" w:hAnsi="仿宋_GB2312" w:eastAsia="仿宋_GB2312" w:cs="仿宋_GB2312"/>
          <w:b/>
          <w:bCs/>
          <w:highlight w:val="none"/>
        </w:rPr>
        <w:sectPr>
          <w:pgSz w:w="11906" w:h="16838"/>
          <w:pgMar w:top="1440" w:right="1800" w:bottom="1440" w:left="1800" w:header="851" w:footer="992" w:gutter="0"/>
          <w:pgNumType w:fmt="decimal"/>
          <w:cols w:space="720" w:num="1"/>
          <w:docGrid w:type="lines" w:linePitch="312" w:charSpace="0"/>
        </w:sectPr>
      </w:pPr>
    </w:p>
    <w:p>
      <w:pPr>
        <w:keepNext w:val="0"/>
        <w:keepLines w:val="0"/>
        <w:tabs>
          <w:tab w:val="left" w:pos="2580"/>
          <w:tab w:val="center" w:pos="5121"/>
        </w:tabs>
        <w:kinsoku/>
        <w:wordWrap/>
        <w:overflowPunct/>
        <w:topLinePunct w:val="0"/>
        <w:autoSpaceDE/>
        <w:autoSpaceDN/>
        <w:bidi w:val="0"/>
        <w:snapToGrid w:val="0"/>
        <w:spacing w:line="360" w:lineRule="auto"/>
        <w:jc w:val="center"/>
        <w:outlineLvl w:val="9"/>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第一部分 合同协议书</w:t>
      </w:r>
    </w:p>
    <w:p>
      <w:pPr>
        <w:pStyle w:val="43"/>
        <w:keepNext w:val="0"/>
        <w:keepLines w:val="0"/>
        <w:kinsoku/>
        <w:wordWrap/>
        <w:overflowPunct/>
        <w:topLinePunct w:val="0"/>
        <w:autoSpaceDE/>
        <w:autoSpaceDN/>
        <w:bidi w:val="0"/>
        <w:snapToGrid w:val="0"/>
        <w:spacing w:before="0" w:beforeAutospacing="0" w:after="0" w:afterAutospacing="0" w:line="360" w:lineRule="auto"/>
        <w:outlineLvl w:val="9"/>
        <w:rPr>
          <w:rFonts w:hint="eastAsia" w:ascii="仿宋_GB2312" w:hAnsi="仿宋_GB2312" w:eastAsia="仿宋_GB2312" w:cs="仿宋_GB2312"/>
          <w:b/>
          <w:highlight w:val="none"/>
        </w:rPr>
      </w:pPr>
    </w:p>
    <w:p>
      <w:pPr>
        <w:pStyle w:val="43"/>
        <w:keepNext w:val="0"/>
        <w:keepLines w:val="0"/>
        <w:kinsoku/>
        <w:wordWrap/>
        <w:overflowPunct/>
        <w:topLinePunct w:val="0"/>
        <w:autoSpaceDE/>
        <w:autoSpaceDN/>
        <w:bidi w:val="0"/>
        <w:snapToGrid w:val="0"/>
        <w:spacing w:before="0" w:beforeAutospacing="0" w:after="0" w:afterAutospacing="0" w:line="360" w:lineRule="auto"/>
        <w:outlineLvl w:val="9"/>
        <w:rPr>
          <w:rFonts w:hint="eastAsia" w:ascii="仿宋_GB2312" w:hAnsi="仿宋_GB2312" w:eastAsia="仿宋_GB2312" w:cs="仿宋_GB2312"/>
          <w:b/>
          <w:highlight w:val="none"/>
          <w:u w:val="single"/>
        </w:rPr>
      </w:pPr>
      <w:r>
        <w:rPr>
          <w:rFonts w:hint="eastAsia" w:ascii="仿宋_GB2312" w:hAnsi="仿宋_GB2312" w:eastAsia="仿宋_GB2312" w:cs="仿宋_GB2312"/>
          <w:b/>
          <w:highlight w:val="none"/>
        </w:rPr>
        <w:t>委托方(以下简称甲方)：</w:t>
      </w:r>
      <w:r>
        <w:rPr>
          <w:rFonts w:hint="eastAsia" w:ascii="仿宋_GB2312" w:hAnsi="仿宋_GB2312" w:eastAsia="仿宋_GB2312" w:cs="仿宋_GB2312"/>
          <w:b/>
          <w:highlight w:val="none"/>
          <w:u w:val="single"/>
        </w:rPr>
        <w:t>长沙市轨道交通运营有限公司</w:t>
      </w:r>
    </w:p>
    <w:p>
      <w:pPr>
        <w:pStyle w:val="43"/>
        <w:keepNext w:val="0"/>
        <w:keepLines w:val="0"/>
        <w:kinsoku/>
        <w:wordWrap/>
        <w:overflowPunct/>
        <w:topLinePunct w:val="0"/>
        <w:autoSpaceDE/>
        <w:autoSpaceDN/>
        <w:bidi w:val="0"/>
        <w:snapToGrid w:val="0"/>
        <w:spacing w:before="0" w:beforeAutospacing="0" w:after="0" w:afterAutospacing="0" w:line="360" w:lineRule="auto"/>
        <w:outlineLvl w:val="9"/>
        <w:rPr>
          <w:rFonts w:hint="eastAsia" w:ascii="仿宋_GB2312" w:hAnsi="仿宋_GB2312" w:eastAsia="仿宋_GB2312" w:cs="仿宋_GB2312"/>
          <w:b/>
          <w:highlight w:val="none"/>
          <w:u w:val="single"/>
        </w:rPr>
      </w:pPr>
      <w:r>
        <w:rPr>
          <w:rFonts w:hint="eastAsia" w:ascii="仿宋_GB2312" w:hAnsi="仿宋_GB2312" w:eastAsia="仿宋_GB2312" w:cs="仿宋_GB2312"/>
          <w:b/>
          <w:highlight w:val="none"/>
          <w:u w:val="single"/>
        </w:rPr>
        <w:t>长沙市轨道交通四号线建设发展有限公司</w:t>
      </w:r>
    </w:p>
    <w:p>
      <w:pPr>
        <w:pStyle w:val="43"/>
        <w:keepNext w:val="0"/>
        <w:keepLines w:val="0"/>
        <w:kinsoku/>
        <w:wordWrap/>
        <w:overflowPunct/>
        <w:topLinePunct w:val="0"/>
        <w:autoSpaceDE/>
        <w:autoSpaceDN/>
        <w:bidi w:val="0"/>
        <w:snapToGrid w:val="0"/>
        <w:spacing w:before="0" w:beforeAutospacing="0" w:after="0" w:afterAutospacing="0" w:line="360" w:lineRule="auto"/>
        <w:outlineLvl w:val="9"/>
        <w:rPr>
          <w:rFonts w:hint="eastAsia" w:ascii="仿宋_GB2312" w:hAnsi="仿宋_GB2312" w:eastAsia="仿宋_GB2312" w:cs="仿宋_GB2312"/>
          <w:b/>
          <w:highlight w:val="none"/>
          <w:u w:val="single"/>
        </w:rPr>
      </w:pPr>
      <w:r>
        <w:rPr>
          <w:rFonts w:hint="eastAsia" w:ascii="仿宋_GB2312" w:hAnsi="仿宋_GB2312" w:eastAsia="仿宋_GB2312" w:cs="仿宋_GB2312"/>
          <w:b/>
          <w:highlight w:val="none"/>
        </w:rPr>
        <w:t>受托方(以下简称乙方)：</w:t>
      </w:r>
      <w:r>
        <w:rPr>
          <w:rFonts w:hint="eastAsia" w:ascii="仿宋_GB2312" w:hAnsi="仿宋_GB2312" w:eastAsia="仿宋_GB2312" w:cs="仿宋_GB2312"/>
          <w:b/>
          <w:highlight w:val="none"/>
          <w:u w:val="single"/>
        </w:rPr>
        <w:t xml:space="preserve">                          </w:t>
      </w:r>
    </w:p>
    <w:p>
      <w:pPr>
        <w:keepNext w:val="0"/>
        <w:keepLines w:val="0"/>
        <w:widowControl/>
        <w:kinsoku/>
        <w:wordWrap/>
        <w:overflowPunct/>
        <w:topLinePunct w:val="0"/>
        <w:autoSpaceDE/>
        <w:autoSpaceDN/>
        <w:bidi w:val="0"/>
        <w:snapToGrid w:val="0"/>
        <w:spacing w:line="360" w:lineRule="auto"/>
        <w:ind w:firstLine="465"/>
        <w:jc w:val="left"/>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根据《中华人民共和国民法典》及其他有关法律、法规，遵循平等、自愿、公平和诚实信用的原则，双方就下述项目工程咨询服务及有关事项协商一致，共同签订本合同。</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第一条 项目概况</w:t>
      </w:r>
    </w:p>
    <w:p>
      <w:pPr>
        <w:keepNext w:val="0"/>
        <w:keepLines w:val="0"/>
        <w:widowControl/>
        <w:kinsoku/>
        <w:wordWrap/>
        <w:overflowPunct/>
        <w:topLinePunct w:val="0"/>
        <w:autoSpaceDE/>
        <w:autoSpaceDN/>
        <w:bidi w:val="0"/>
        <w:snapToGrid w:val="0"/>
        <w:spacing w:line="360" w:lineRule="auto"/>
        <w:ind w:firstLine="465"/>
        <w:jc w:val="left"/>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sz w:val="24"/>
          <w:szCs w:val="24"/>
          <w:highlight w:val="none"/>
          <w:u w:val="single"/>
        </w:rPr>
        <w:t>与招采文件一致</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sz w:val="24"/>
          <w:szCs w:val="24"/>
          <w:highlight w:val="none"/>
          <w:u w:val="single"/>
        </w:rPr>
        <w:t xml:space="preserve"> </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第二条 咨询服务的内容及要求</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1、咨询服务内容：</w:t>
      </w:r>
      <w:r>
        <w:rPr>
          <w:rFonts w:hint="eastAsia" w:ascii="仿宋_GB2312" w:hAnsi="仿宋_GB2312" w:eastAsia="仿宋_GB2312" w:cs="仿宋_GB2312"/>
          <w:highlight w:val="none"/>
          <w:u w:val="single"/>
        </w:rPr>
        <w:t>与招采文件一致</w:t>
      </w:r>
      <w:r>
        <w:rPr>
          <w:rFonts w:hint="eastAsia" w:ascii="仿宋_GB2312" w:hAnsi="仿宋_GB2312" w:eastAsia="仿宋_GB2312" w:cs="仿宋_GB2312"/>
          <w:highlight w:val="none"/>
        </w:rPr>
        <w:t>，具体内容详见技术说明及要求。</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2、咨询服务要求：</w:t>
      </w:r>
      <w:r>
        <w:rPr>
          <w:rFonts w:hint="eastAsia" w:ascii="仿宋_GB2312" w:hAnsi="仿宋_GB2312" w:eastAsia="仿宋_GB2312" w:cs="仿宋_GB2312"/>
          <w:highlight w:val="none"/>
          <w:u w:val="single"/>
        </w:rPr>
        <w:t>按技术说明及要求执行</w:t>
      </w:r>
      <w:r>
        <w:rPr>
          <w:rFonts w:hint="eastAsia" w:ascii="仿宋_GB2312" w:hAnsi="仿宋_GB2312" w:eastAsia="仿宋_GB2312" w:cs="仿宋_GB2312"/>
          <w:highlight w:val="none"/>
        </w:rPr>
        <w:t>。</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第三条 服务期限及进度要求</w:t>
      </w:r>
    </w:p>
    <w:p>
      <w:pPr>
        <w:keepNext w:val="0"/>
        <w:keepLines w:val="0"/>
        <w:widowControl/>
        <w:kinsoku/>
        <w:wordWrap/>
        <w:overflowPunct/>
        <w:topLinePunct w:val="0"/>
        <w:autoSpaceDE/>
        <w:autoSpaceDN/>
        <w:bidi w:val="0"/>
        <w:snapToGrid w:val="0"/>
        <w:spacing w:line="360" w:lineRule="auto"/>
        <w:ind w:firstLine="465"/>
        <w:jc w:val="left"/>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u w:val="single"/>
        </w:rPr>
        <w:t xml:space="preserve"> 与招采文件一致</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sz w:val="24"/>
          <w:szCs w:val="24"/>
          <w:highlight w:val="none"/>
          <w:u w:val="single"/>
        </w:rPr>
        <w:t xml:space="preserve"> </w:t>
      </w:r>
    </w:p>
    <w:p>
      <w:pPr>
        <w:keepNext w:val="0"/>
        <w:keepLines w:val="0"/>
        <w:widowControl/>
        <w:kinsoku/>
        <w:wordWrap/>
        <w:overflowPunct/>
        <w:topLinePunct w:val="0"/>
        <w:autoSpaceDE/>
        <w:autoSpaceDN/>
        <w:bidi w:val="0"/>
        <w:snapToGrid w:val="0"/>
        <w:spacing w:line="360" w:lineRule="auto"/>
        <w:ind w:firstLine="465"/>
        <w:jc w:val="left"/>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sz w:val="24"/>
          <w:szCs w:val="24"/>
          <w:highlight w:val="none"/>
        </w:rPr>
        <w:t>各阶段进度应满足甲方工程建设进度要求，具体实施中再根据甲方批准计划落实，总的进度要求以满足甲方要求为原则。</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第四条 甲、乙双方的权利义务</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2" w:firstLineChars="200"/>
        <w:outlineLvl w:val="9"/>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4.1 甲方的权利义务</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4.1.1甲方作为项目法人，对咨询服务过程的决策、控制、实施等环节实行管理,有权对乙方的咨询工作进行检查、考核。</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4.1.2甲方应向乙方提供必要的基础资料（基础资料中不完善的部分，由权威部门确认的代用资料替代），并对其完整性、正确性、时限性负责。</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4.1.3甲方为乙方现场作业工作提供相应熟悉情况的人员作向导，但不另行承担乙方工作人员现场工作期间所产生的一切费用（该费用已包含在签约酬金中），也不对乙方工作人员非因甲方原因而遭致的人身或者财产损失承担责任。</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4.1.4甲方应按本合同约定向乙方支付咨询报酬。</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2" w:firstLineChars="200"/>
        <w:outlineLvl w:val="9"/>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4.2 乙方的权利义务</w:t>
      </w:r>
    </w:p>
    <w:p>
      <w:pPr>
        <w:pStyle w:val="43"/>
        <w:keepNext w:val="0"/>
        <w:keepLines w:val="0"/>
        <w:widowControl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4.2.1乙方应按国家规定和本合同约定的咨询内容进行研究和编制咨询工作成果，按甲方要求向甲方交付咨询工作成果，并对提交的咨询工作成果质量负责。</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lang w:val="zh-CN"/>
        </w:rPr>
      </w:pPr>
      <w:r>
        <w:rPr>
          <w:rFonts w:hint="eastAsia" w:ascii="仿宋_GB2312" w:hAnsi="仿宋_GB2312" w:eastAsia="仿宋_GB2312" w:cs="仿宋_GB2312"/>
          <w:highlight w:val="none"/>
          <w:lang w:val="zh-CN"/>
        </w:rPr>
        <w:t>4.2.2</w:t>
      </w:r>
      <w:r>
        <w:rPr>
          <w:rFonts w:hint="eastAsia" w:ascii="仿宋_GB2312" w:hAnsi="仿宋_GB2312" w:eastAsia="仿宋_GB2312" w:cs="仿宋_GB2312"/>
          <w:highlight w:val="none"/>
        </w:rPr>
        <w:t>乙方</w:t>
      </w:r>
      <w:r>
        <w:rPr>
          <w:rFonts w:hint="eastAsia" w:ascii="仿宋_GB2312" w:hAnsi="仿宋_GB2312" w:eastAsia="仿宋_GB2312" w:cs="仿宋_GB2312"/>
          <w:highlight w:val="none"/>
          <w:lang w:val="zh-CN"/>
        </w:rPr>
        <w:t>应协助甲方做好与各政府部门、沿线相关单位的技术协调以及舆情应对工作。</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lang w:val="zh-CN"/>
        </w:rPr>
      </w:pPr>
      <w:r>
        <w:rPr>
          <w:rFonts w:hint="eastAsia" w:ascii="仿宋_GB2312" w:hAnsi="仿宋_GB2312" w:eastAsia="仿宋_GB2312" w:cs="仿宋_GB2312"/>
          <w:highlight w:val="none"/>
          <w:lang w:val="zh-CN"/>
        </w:rPr>
        <w:t>4.2.3乙方应主动收集与咨询工作相关的各类资料，负责将收集的相关资料及时提供给甲方。具体要求详见技术说明及要求。</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4.2.4乙方应自费对咨询工作成果出现的遗漏或错误负责修改和补充，甲方不再另行支付费用；因乙方遗漏或错误造成甲方损失的，由乙方承担全部责任和费用。</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4.2.5乙方应按照法律法规的要求购买其工作人员的工伤保险、人身意外伤害险和其他保险，并使保险合同在合同服务期内保持有效，并承担其工作人员现场工作期间所产生的一切费用。</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4.2.6乙方应理解甲方有权根据政府要求及进度情况对工期做合理调整，工期调整后乙方不得以任何理由要求增加费用，乙方应充分考虑并承诺承担因工期调整所发生的相关费用。</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lang w:val="zh-CN"/>
        </w:rPr>
      </w:pPr>
      <w:r>
        <w:rPr>
          <w:rFonts w:hint="eastAsia" w:ascii="仿宋_GB2312" w:hAnsi="仿宋_GB2312" w:eastAsia="仿宋_GB2312" w:cs="仿宋_GB2312"/>
          <w:highlight w:val="none"/>
          <w:lang w:val="zh-CN"/>
        </w:rPr>
        <w:t>4.2.7</w:t>
      </w:r>
      <w:r>
        <w:rPr>
          <w:rFonts w:hint="eastAsia" w:ascii="仿宋_GB2312" w:hAnsi="仿宋_GB2312" w:eastAsia="仿宋_GB2312" w:cs="仿宋_GB2312"/>
          <w:highlight w:val="none"/>
        </w:rPr>
        <w:t>乙方应</w:t>
      </w:r>
      <w:r>
        <w:rPr>
          <w:rFonts w:hint="eastAsia" w:ascii="仿宋_GB2312" w:hAnsi="仿宋_GB2312" w:eastAsia="仿宋_GB2312" w:cs="仿宋_GB2312"/>
          <w:highlight w:val="none"/>
          <w:lang w:val="zh-CN"/>
        </w:rPr>
        <w:t>协助</w:t>
      </w:r>
      <w:r>
        <w:rPr>
          <w:rFonts w:hint="eastAsia" w:ascii="仿宋_GB2312" w:hAnsi="仿宋_GB2312" w:eastAsia="仿宋_GB2312" w:cs="仿宋_GB2312"/>
          <w:highlight w:val="none"/>
        </w:rPr>
        <w:t>甲方完成</w:t>
      </w:r>
      <w:r>
        <w:rPr>
          <w:rFonts w:hint="eastAsia" w:ascii="仿宋_GB2312" w:hAnsi="仿宋_GB2312" w:eastAsia="仿宋_GB2312" w:cs="仿宋_GB2312"/>
          <w:highlight w:val="none"/>
          <w:u w:val="single"/>
        </w:rPr>
        <w:t>□咨询工作成果的专家评审□咨询工作成果的相关职能部门备案</w:t>
      </w:r>
      <w:r>
        <w:rPr>
          <w:rFonts w:hint="eastAsia" w:ascii="仿宋_GB2312" w:hAnsi="仿宋_GB2312" w:eastAsia="仿宋_GB2312" w:cs="仿宋_GB2312"/>
          <w:highlight w:val="none"/>
          <w:u w:val="single"/>
        </w:rPr>
        <w:sym w:font="Wingdings 2" w:char="0052"/>
      </w:r>
      <w:r>
        <w:rPr>
          <w:rFonts w:hint="eastAsia" w:ascii="仿宋_GB2312" w:hAnsi="仿宋_GB2312" w:eastAsia="仿宋_GB2312" w:cs="仿宋_GB2312"/>
          <w:highlight w:val="none"/>
          <w:u w:val="single"/>
        </w:rPr>
        <w:t>咨询工作成果的相关职能部门批复□项目取得初步设计批复工作</w:t>
      </w:r>
      <w:r>
        <w:rPr>
          <w:rFonts w:hint="eastAsia" w:ascii="仿宋_GB2312" w:hAnsi="仿宋_GB2312" w:eastAsia="仿宋_GB2312" w:cs="仿宋_GB2312"/>
          <w:highlight w:val="none"/>
          <w:lang w:val="zh-CN"/>
        </w:rPr>
        <w:t>，</w:t>
      </w:r>
      <w:r>
        <w:rPr>
          <w:rFonts w:hint="eastAsia" w:ascii="仿宋_GB2312" w:hAnsi="仿宋_GB2312" w:eastAsia="仿宋_GB2312" w:cs="仿宋_GB2312"/>
          <w:highlight w:val="none"/>
        </w:rPr>
        <w:t>上述费用已包含在签约酬金中不再另行支付</w:t>
      </w:r>
      <w:r>
        <w:rPr>
          <w:rFonts w:hint="eastAsia" w:ascii="仿宋_GB2312" w:hAnsi="仿宋_GB2312" w:eastAsia="仿宋_GB2312" w:cs="仿宋_GB2312"/>
          <w:highlight w:val="none"/>
          <w:lang w:val="zh-CN"/>
        </w:rPr>
        <w:t>。</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4.2.8乙方应确保本合同约定的关键岗位人员应专职服务于本项目。</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第五条 咨询报酬的形式、金额及支付方式</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5.1咨询报酬的形式</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ascii="仿宋_GB2312" w:hAnsi="仿宋_GB2312" w:eastAsia="仿宋_GB2312" w:cs="仿宋_GB2312"/>
          <w:highlight w:val="none"/>
        </w:rPr>
      </w:pPr>
      <w:r>
        <w:rPr>
          <w:rFonts w:hint="eastAsia" w:ascii="仿宋_GB2312" w:hAnsi="仿宋_GB2312" w:eastAsia="仿宋_GB2312" w:cs="仿宋_GB2312"/>
          <w:highlight w:val="none"/>
        </w:rPr>
        <w:t>咨询报酬的形式为：</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ascii="仿宋_GB2312" w:hAnsi="仿宋_GB2312" w:eastAsia="仿宋_GB2312" w:cs="仿宋_GB2312"/>
          <w:highlight w:val="none"/>
          <w:u w:val="single"/>
        </w:rPr>
      </w:pPr>
      <w:r>
        <w:rPr>
          <w:rFonts w:hint="eastAsia" w:ascii="仿宋_GB2312" w:hAnsi="仿宋_GB2312" w:eastAsia="仿宋_GB2312" w:cs="仿宋_GB2312"/>
          <w:highlight w:val="none"/>
          <w:u w:val="single"/>
        </w:rPr>
        <w:sym w:font="Wingdings 2" w:char="0052"/>
      </w:r>
      <w:r>
        <w:rPr>
          <w:rFonts w:hint="eastAsia" w:ascii="仿宋_GB2312" w:hAnsi="仿宋_GB2312" w:eastAsia="仿宋_GB2312" w:cs="仿宋_GB2312"/>
          <w:highlight w:val="none"/>
          <w:u w:val="single"/>
        </w:rPr>
        <w:t>总价合同（除税率调整外，合同总价（即中标总价/中选总价/成交总价）在合同执行过程中固定不变，不随政府政策（长沙市规定的最低工资标准变化等）及市场物价上涨或回落等因素调整）</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u w:val="single"/>
        </w:rPr>
        <w:t>□单价合同（除税率调整外，合同单价（即中标单价/中选单价/成交单价）在合同执行过程中固定不变，不随政府政策（长沙市规定的最低工资标准变化等）及市场物价上涨或回落等因素调整）</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5.2咨询报酬的金额</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rPr>
        <w:t>签约酬金为含增值税价，金额为人民币（大写）</w:t>
      </w:r>
      <w:r>
        <w:rPr>
          <w:rFonts w:hint="eastAsia" w:ascii="仿宋_GB2312" w:hAnsi="仿宋_GB2312" w:eastAsia="仿宋_GB2312" w:cs="仿宋_GB2312"/>
          <w:highlight w:val="none"/>
          <w:u w:val="single"/>
        </w:rPr>
        <w:t>          </w:t>
      </w:r>
      <w:r>
        <w:rPr>
          <w:rFonts w:ascii="Times New Roman" w:hAnsi="Times New Roman" w:eastAsia="仿宋_GB2312" w:cs="Times New Roman"/>
          <w:highlight w:val="none"/>
        </w:rPr>
        <w:t>（¥</w:t>
      </w:r>
      <w:r>
        <w:rPr>
          <w:rFonts w:ascii="Times New Roman" w:hAnsi="Times New Roman" w:eastAsia="仿宋_GB2312" w:cs="Times New Roman"/>
          <w:highlight w:val="none"/>
          <w:u w:val="single"/>
        </w:rPr>
        <w:t>       </w:t>
      </w:r>
      <w:r>
        <w:rPr>
          <w:rFonts w:ascii="Times New Roman" w:hAnsi="Times New Roman" w:eastAsia="仿宋_GB2312" w:cs="Times New Roman"/>
          <w:highlight w:val="none"/>
        </w:rPr>
        <w:t>），其中不含增值税价格为¥</w:t>
      </w:r>
      <w:r>
        <w:rPr>
          <w:rFonts w:ascii="Times New Roman" w:hAnsi="Times New Roman" w:eastAsia="仿宋_GB2312" w:cs="Times New Roman"/>
          <w:highlight w:val="none"/>
          <w:u w:val="single"/>
        </w:rPr>
        <w:t>       </w:t>
      </w:r>
      <w:r>
        <w:rPr>
          <w:rFonts w:ascii="Times New Roman" w:hAnsi="Times New Roman" w:eastAsia="仿宋_GB2312" w:cs="Times New Roman"/>
          <w:highlight w:val="none"/>
        </w:rPr>
        <w:t>、签约酬金中的增值税为¥</w:t>
      </w:r>
      <w:r>
        <w:rPr>
          <w:rFonts w:ascii="Times New Roman" w:hAnsi="Times New Roman" w:eastAsia="仿宋_GB2312" w:cs="Times New Roman"/>
          <w:highlight w:val="none"/>
          <w:u w:val="single"/>
        </w:rPr>
        <w:t>       </w:t>
      </w:r>
      <w:r>
        <w:rPr>
          <w:rFonts w:ascii="Times New Roman" w:hAnsi="Times New Roman" w:eastAsia="仿宋_GB2312" w:cs="Times New Roman"/>
          <w:highlight w:val="none"/>
        </w:rPr>
        <w:t>。</w:t>
      </w:r>
      <w:r>
        <w:rPr>
          <w:rFonts w:hint="eastAsia" w:ascii="仿宋_GB2312" w:hAnsi="仿宋_GB2312" w:eastAsia="仿宋_GB2312" w:cs="仿宋_GB2312"/>
          <w:highlight w:val="none"/>
        </w:rPr>
        <w:t>增值税根据乙方提供给甲方的增值税专用发票中的税额据实支付和结算，具体价格组成详见签约酬金清单。</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bCs/>
          <w:highlight w:val="none"/>
        </w:rPr>
        <w:t>按照长沙市政府或其职能部门相关规定，</w:t>
      </w:r>
      <w:r>
        <w:rPr>
          <w:rFonts w:hint="eastAsia" w:ascii="仿宋_GB2312" w:hAnsi="仿宋_GB2312" w:eastAsia="仿宋_GB2312" w:cs="仿宋_GB2312"/>
          <w:highlight w:val="none"/>
        </w:rPr>
        <w:t>本项目的酬金最终以</w:t>
      </w:r>
      <w:r>
        <w:rPr>
          <w:rFonts w:ascii="仿宋_GB2312" w:hAnsi="仿宋_GB2312" w:eastAsia="仿宋_GB2312" w:cs="仿宋_GB2312"/>
          <w:highlight w:val="none"/>
          <w:u w:val="single"/>
        </w:rPr>
        <w:t>□长沙市政府相关职能部门或长沙市轨道交通集团有限公司授权的单位审定价款为准</w:t>
      </w:r>
      <w:r>
        <w:rPr>
          <w:rFonts w:ascii="仿宋_GB2312" w:hAnsi="仿宋_GB2312" w:eastAsia="仿宋_GB2312" w:cs="仿宋_GB2312"/>
          <w:highlight w:val="none"/>
        </w:rPr>
        <w:t>/</w:t>
      </w:r>
      <w:r>
        <w:rPr>
          <w:rFonts w:ascii="仿宋_GB2312" w:hAnsi="仿宋_GB2312" w:eastAsia="仿宋_GB2312" w:cs="仿宋_GB2312"/>
          <w:highlight w:val="none"/>
          <w:u w:val="single"/>
        </w:rPr>
        <w:sym w:font="Wingdings 2" w:char="0052"/>
      </w:r>
      <w:r>
        <w:rPr>
          <w:rFonts w:ascii="仿宋_GB2312" w:hAnsi="仿宋_GB2312" w:eastAsia="仿宋_GB2312" w:cs="仿宋_GB2312"/>
          <w:highlight w:val="none"/>
          <w:u w:val="single"/>
        </w:rPr>
        <w:t>履约验收合格确定的最终价款为准</w:t>
      </w:r>
      <w:r>
        <w:rPr>
          <w:rFonts w:hint="eastAsia" w:ascii="仿宋_GB2312" w:hAnsi="仿宋_GB2312" w:eastAsia="仿宋_GB2312" w:cs="仿宋_GB2312"/>
          <w:bCs/>
          <w:highlight w:val="none"/>
        </w:rPr>
        <w:t>。酬金包括完成合同约定内容所产生的成本、费用（含会务费）、税金、利润、保险、专利、风险等</w:t>
      </w:r>
      <w:r>
        <w:rPr>
          <w:rFonts w:hint="eastAsia" w:ascii="仿宋_GB2312" w:hAnsi="仿宋_GB2312" w:eastAsia="仿宋_GB2312" w:cs="仿宋_GB2312"/>
          <w:highlight w:val="none"/>
        </w:rPr>
        <w:t>。</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shd w:val="clear" w:color="auto" w:fill="FFFFFF"/>
        </w:rPr>
        <w:t>5.3</w:t>
      </w:r>
      <w:r>
        <w:rPr>
          <w:rFonts w:hint="eastAsia" w:ascii="仿宋_GB2312" w:hAnsi="仿宋_GB2312" w:eastAsia="仿宋_GB2312" w:cs="仿宋_GB2312"/>
          <w:highlight w:val="none"/>
        </w:rPr>
        <w:t>支付方式和时间：</w:t>
      </w:r>
    </w:p>
    <w:p>
      <w:pPr>
        <w:pStyle w:val="43"/>
        <w:keepNext w:val="0"/>
        <w:keepLines w:val="0"/>
        <w:kinsoku/>
        <w:wordWrap/>
        <w:overflowPunct/>
        <w:topLinePunct w:val="0"/>
        <w:autoSpaceDE/>
        <w:autoSpaceDN/>
        <w:bidi w:val="0"/>
        <w:adjustRightInd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bookmarkStart w:id="75" w:name="OLE_LINK5"/>
      <w:r>
        <w:rPr>
          <w:rFonts w:hint="eastAsia" w:ascii="仿宋_GB2312" w:hAnsi="仿宋_GB2312" w:eastAsia="仿宋_GB2312" w:cs="仿宋_GB2312"/>
          <w:highlight w:val="none"/>
        </w:rPr>
        <w:t>5.3.1支付方式</w:t>
      </w:r>
    </w:p>
    <w:p>
      <w:pPr>
        <w:pStyle w:val="43"/>
        <w:keepNext w:val="0"/>
        <w:keepLines w:val="0"/>
        <w:kinsoku/>
        <w:wordWrap/>
        <w:overflowPunct/>
        <w:topLinePunct w:val="0"/>
        <w:autoSpaceDE/>
        <w:autoSpaceDN/>
        <w:bidi w:val="0"/>
        <w:adjustRightInd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本项目支付方式采用以下</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 xml:space="preserve"> </w:t>
      </w:r>
      <w:r>
        <w:rPr>
          <w:rFonts w:hint="eastAsia" w:ascii="仿宋_GB2312" w:hAnsi="仿宋_GB2312" w:eastAsia="仿宋_GB2312" w:cs="仿宋_GB2312"/>
          <w:highlight w:val="none"/>
          <w:u w:val="single"/>
        </w:rPr>
        <w:t xml:space="preserve">（1）  </w:t>
      </w:r>
      <w:r>
        <w:rPr>
          <w:rFonts w:hint="eastAsia" w:ascii="仿宋_GB2312" w:hAnsi="仿宋_GB2312" w:eastAsia="仿宋_GB2312" w:cs="仿宋_GB2312"/>
          <w:highlight w:val="none"/>
        </w:rPr>
        <w:t>方式。</w:t>
      </w:r>
    </w:p>
    <w:p>
      <w:pPr>
        <w:pStyle w:val="43"/>
        <w:keepNext w:val="0"/>
        <w:keepLines w:val="0"/>
        <w:kinsoku/>
        <w:wordWrap/>
        <w:overflowPunct/>
        <w:topLinePunct w:val="0"/>
        <w:autoSpaceDE/>
        <w:autoSpaceDN/>
        <w:bidi w:val="0"/>
        <w:adjustRightInd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（1）一次支付：</w:t>
      </w:r>
    </w:p>
    <w:p>
      <w:pPr>
        <w:pStyle w:val="43"/>
        <w:keepNext w:val="0"/>
        <w:keepLines w:val="0"/>
        <w:kinsoku/>
        <w:wordWrap/>
        <w:overflowPunct/>
        <w:topLinePunct w:val="0"/>
        <w:autoSpaceDE/>
        <w:autoSpaceDN/>
        <w:bidi w:val="0"/>
        <w:adjustRightInd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u w:val="single"/>
        </w:rPr>
        <w:t>□</w:t>
      </w:r>
      <w:r>
        <w:rPr>
          <w:rFonts w:hint="eastAsia" w:ascii="仿宋_GB2312" w:hAnsi="仿宋_GB2312" w:eastAsia="仿宋_GB2312" w:cs="仿宋_GB2312"/>
          <w:bCs/>
          <w:highlight w:val="none"/>
          <w:u w:val="single"/>
        </w:rPr>
        <w:t>乙方提交经甲方审核的咨询工作成果</w:t>
      </w:r>
      <w:r>
        <w:rPr>
          <w:rFonts w:hint="eastAsia" w:ascii="仿宋_GB2312" w:hAnsi="仿宋_GB2312" w:eastAsia="仿宋_GB2312" w:cs="仿宋_GB2312"/>
          <w:highlight w:val="none"/>
          <w:u w:val="single"/>
        </w:rPr>
        <w:t>□</w:t>
      </w:r>
      <w:r>
        <w:rPr>
          <w:rFonts w:hint="eastAsia" w:ascii="仿宋_GB2312" w:hAnsi="仿宋_GB2312" w:eastAsia="仿宋_GB2312" w:cs="仿宋_GB2312"/>
          <w:bCs/>
          <w:highlight w:val="none"/>
          <w:u w:val="single"/>
        </w:rPr>
        <w:t>咨询工作成果通过</w:t>
      </w:r>
      <w:r>
        <w:rPr>
          <w:rFonts w:hint="eastAsia" w:ascii="仿宋_GB2312" w:hAnsi="仿宋_GB2312" w:eastAsia="仿宋_GB2312" w:cs="仿宋_GB2312"/>
          <w:highlight w:val="none"/>
          <w:u w:val="single"/>
        </w:rPr>
        <w:t>专家评审□</w:t>
      </w:r>
      <w:r>
        <w:rPr>
          <w:rFonts w:hint="eastAsia" w:ascii="仿宋_GB2312" w:hAnsi="仿宋_GB2312" w:eastAsia="仿宋_GB2312" w:cs="仿宋_GB2312"/>
          <w:bCs/>
          <w:highlight w:val="none"/>
          <w:u w:val="single"/>
        </w:rPr>
        <w:t>咨询工作成果通过</w:t>
      </w:r>
      <w:r>
        <w:rPr>
          <w:rFonts w:hint="eastAsia" w:ascii="仿宋_GB2312" w:hAnsi="仿宋_GB2312" w:eastAsia="仿宋_GB2312" w:cs="仿宋_GB2312"/>
          <w:highlight w:val="none"/>
          <w:u w:val="single"/>
        </w:rPr>
        <w:t>相关职能部门备案</w:t>
      </w:r>
      <w:r>
        <w:rPr>
          <w:rFonts w:hint="eastAsia" w:ascii="仿宋_GB2312" w:hAnsi="仿宋_GB2312" w:eastAsia="仿宋_GB2312" w:cs="仿宋_GB2312"/>
          <w:highlight w:val="none"/>
          <w:u w:val="single"/>
        </w:rPr>
        <w:sym w:font="Wingdings 2" w:char="0052"/>
      </w:r>
      <w:r>
        <w:rPr>
          <w:rFonts w:hint="eastAsia" w:ascii="仿宋_GB2312" w:hAnsi="仿宋_GB2312" w:eastAsia="仿宋_GB2312" w:cs="仿宋_GB2312"/>
          <w:bCs/>
          <w:highlight w:val="none"/>
          <w:u w:val="single"/>
        </w:rPr>
        <w:t>咨询工作成果通过</w:t>
      </w:r>
      <w:r>
        <w:rPr>
          <w:rFonts w:hint="eastAsia" w:ascii="仿宋_GB2312" w:hAnsi="仿宋_GB2312" w:eastAsia="仿宋_GB2312" w:cs="仿宋_GB2312"/>
          <w:highlight w:val="none"/>
          <w:u w:val="single"/>
        </w:rPr>
        <w:t>相关职能部门批复□项目取得初步设计批复</w:t>
      </w:r>
      <w:r>
        <w:rPr>
          <w:rFonts w:hint="eastAsia" w:ascii="仿宋_GB2312" w:hAnsi="仿宋_GB2312" w:eastAsia="仿宋_GB2312" w:cs="仿宋_GB2312"/>
          <w:highlight w:val="none"/>
        </w:rPr>
        <w:t>，且</w:t>
      </w:r>
      <w:r>
        <w:rPr>
          <w:rFonts w:ascii="仿宋_GB2312" w:hAnsi="仿宋_GB2312" w:eastAsia="仿宋_GB2312" w:cs="仿宋_GB2312"/>
          <w:highlight w:val="none"/>
          <w:u w:val="single"/>
        </w:rPr>
        <w:t>□</w:t>
      </w:r>
      <w:r>
        <w:rPr>
          <w:rFonts w:hint="eastAsia" w:ascii="仿宋_GB2312" w:hAnsi="仿宋_GB2312" w:eastAsia="仿宋_GB2312" w:cs="仿宋_GB2312"/>
          <w:highlight w:val="none"/>
          <w:u w:val="single"/>
        </w:rPr>
        <w:t>酬金经</w:t>
      </w:r>
      <w:r>
        <w:rPr>
          <w:rFonts w:hint="eastAsia" w:ascii="仿宋_GB2312" w:hAnsi="仿宋_GB2312" w:eastAsia="仿宋_GB2312" w:cs="仿宋_GB2312"/>
          <w:bCs/>
          <w:highlight w:val="none"/>
          <w:u w:val="single"/>
        </w:rPr>
        <w:t>长沙市政府相关职能部门或长沙市轨道交通集团有限公司授权的单位</w:t>
      </w:r>
      <w:r>
        <w:rPr>
          <w:rFonts w:hint="eastAsia" w:ascii="仿宋_GB2312" w:hAnsi="仿宋_GB2312" w:eastAsia="仿宋_GB2312" w:cs="仿宋_GB2312"/>
          <w:highlight w:val="none"/>
          <w:u w:val="single"/>
        </w:rPr>
        <w:t>审定后</w:t>
      </w:r>
      <w:r>
        <w:rPr>
          <w:rFonts w:ascii="仿宋_GB2312" w:hAnsi="仿宋_GB2312" w:eastAsia="仿宋_GB2312" w:cs="仿宋_GB2312"/>
          <w:highlight w:val="none"/>
        </w:rPr>
        <w:t>/</w:t>
      </w:r>
      <w:r>
        <w:rPr>
          <w:rFonts w:ascii="仿宋_GB2312" w:hAnsi="仿宋_GB2312" w:eastAsia="仿宋_GB2312" w:cs="仿宋_GB2312"/>
          <w:highlight w:val="none"/>
          <w:u w:val="single"/>
        </w:rPr>
        <w:sym w:font="Wingdings 2" w:char="0052"/>
      </w:r>
      <w:r>
        <w:rPr>
          <w:rFonts w:ascii="仿宋_GB2312" w:hAnsi="仿宋_GB2312" w:eastAsia="仿宋_GB2312" w:cs="仿宋_GB2312"/>
          <w:highlight w:val="none"/>
          <w:u w:val="single"/>
        </w:rPr>
        <w:t>本项目履约验收合格</w:t>
      </w:r>
      <w:r>
        <w:rPr>
          <w:rFonts w:hint="eastAsia" w:ascii="仿宋_GB2312" w:hAnsi="仿宋_GB2312" w:eastAsia="仿宋_GB2312" w:cs="仿宋_GB2312"/>
          <w:highlight w:val="none"/>
          <w:u w:val="single"/>
        </w:rPr>
        <w:t>后</w:t>
      </w:r>
      <w:r>
        <w:rPr>
          <w:rFonts w:hint="eastAsia" w:ascii="仿宋_GB2312" w:hAnsi="仿宋_GB2312" w:eastAsia="仿宋_GB2312" w:cs="仿宋_GB2312"/>
          <w:highlight w:val="none"/>
        </w:rPr>
        <w:t>，支付至酬金的100%。</w:t>
      </w:r>
    </w:p>
    <w:p>
      <w:pPr>
        <w:keepNext w:val="0"/>
        <w:keepLines w:val="0"/>
        <w:kinsoku/>
        <w:wordWrap/>
        <w:overflowPunct/>
        <w:topLinePunct w:val="0"/>
        <w:autoSpaceDE/>
        <w:autoSpaceDN/>
        <w:bidi w:val="0"/>
        <w:adjustRightInd w:val="0"/>
        <w:snapToGrid w:val="0"/>
        <w:spacing w:line="360" w:lineRule="auto"/>
        <w:ind w:firstLine="420" w:firstLineChars="175"/>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（2）分期支付：</w:t>
      </w:r>
    </w:p>
    <w:p>
      <w:pPr>
        <w:keepNext w:val="0"/>
        <w:keepLines w:val="0"/>
        <w:kinsoku/>
        <w:wordWrap/>
        <w:overflowPunct/>
        <w:topLinePunct w:val="0"/>
        <w:autoSpaceDE/>
        <w:autoSpaceDN/>
        <w:bidi w:val="0"/>
        <w:adjustRightInd w:val="0"/>
        <w:snapToGrid w:val="0"/>
        <w:spacing w:line="360" w:lineRule="auto"/>
        <w:ind w:firstLine="420" w:firstLineChars="175"/>
        <w:outlineLvl w:val="9"/>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u w:val="single"/>
        </w:rPr>
        <w:t>□乙方完成咨询工作成果编制□咨询工作成果通过专家评审</w:t>
      </w:r>
      <w:r>
        <w:rPr>
          <w:rFonts w:hint="eastAsia" w:ascii="仿宋_GB2312" w:hAnsi="仿宋_GB2312" w:eastAsia="仿宋_GB2312" w:cs="仿宋_GB2312"/>
          <w:sz w:val="24"/>
          <w:szCs w:val="24"/>
          <w:highlight w:val="none"/>
        </w:rPr>
        <w:t>，支付签约酬金的50%；</w:t>
      </w:r>
    </w:p>
    <w:p>
      <w:pPr>
        <w:keepNext w:val="0"/>
        <w:keepLines w:val="0"/>
        <w:kinsoku/>
        <w:wordWrap/>
        <w:overflowPunct/>
        <w:topLinePunct w:val="0"/>
        <w:autoSpaceDE/>
        <w:autoSpaceDN/>
        <w:bidi w:val="0"/>
        <w:adjustRightInd w:val="0"/>
        <w:snapToGrid w:val="0"/>
        <w:spacing w:line="360" w:lineRule="auto"/>
        <w:ind w:firstLine="420" w:firstLineChars="175"/>
        <w:outlineLvl w:val="9"/>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u w:val="single"/>
        </w:rPr>
        <w:t>□</w:t>
      </w:r>
      <w:r>
        <w:rPr>
          <w:rFonts w:hint="eastAsia" w:ascii="仿宋_GB2312" w:hAnsi="仿宋_GB2312" w:eastAsia="仿宋_GB2312" w:cs="仿宋_GB2312"/>
          <w:bCs/>
          <w:sz w:val="24"/>
          <w:szCs w:val="24"/>
          <w:highlight w:val="none"/>
          <w:u w:val="single"/>
        </w:rPr>
        <w:t>乙方提交经甲方审核的咨询工作成果</w:t>
      </w:r>
      <w:r>
        <w:rPr>
          <w:rFonts w:hint="eastAsia" w:ascii="仿宋_GB2312" w:hAnsi="仿宋_GB2312" w:eastAsia="仿宋_GB2312" w:cs="仿宋_GB2312"/>
          <w:sz w:val="24"/>
          <w:szCs w:val="24"/>
          <w:highlight w:val="none"/>
          <w:u w:val="single"/>
        </w:rPr>
        <w:t>□</w:t>
      </w:r>
      <w:r>
        <w:rPr>
          <w:rFonts w:hint="eastAsia" w:ascii="仿宋_GB2312" w:hAnsi="仿宋_GB2312" w:eastAsia="仿宋_GB2312" w:cs="仿宋_GB2312"/>
          <w:bCs/>
          <w:sz w:val="24"/>
          <w:szCs w:val="24"/>
          <w:highlight w:val="none"/>
          <w:u w:val="single"/>
        </w:rPr>
        <w:t>咨询工作成果通过</w:t>
      </w:r>
      <w:r>
        <w:rPr>
          <w:rFonts w:hint="eastAsia" w:ascii="仿宋_GB2312" w:hAnsi="仿宋_GB2312" w:eastAsia="仿宋_GB2312" w:cs="仿宋_GB2312"/>
          <w:sz w:val="24"/>
          <w:szCs w:val="24"/>
          <w:highlight w:val="none"/>
          <w:u w:val="single"/>
        </w:rPr>
        <w:t>相关职能部门备案□</w:t>
      </w:r>
      <w:r>
        <w:rPr>
          <w:rFonts w:hint="eastAsia" w:ascii="仿宋_GB2312" w:hAnsi="仿宋_GB2312" w:eastAsia="仿宋_GB2312" w:cs="仿宋_GB2312"/>
          <w:bCs/>
          <w:sz w:val="24"/>
          <w:szCs w:val="24"/>
          <w:highlight w:val="none"/>
          <w:u w:val="single"/>
        </w:rPr>
        <w:t>咨询工作成果通过</w:t>
      </w:r>
      <w:r>
        <w:rPr>
          <w:rFonts w:hint="eastAsia" w:ascii="仿宋_GB2312" w:hAnsi="仿宋_GB2312" w:eastAsia="仿宋_GB2312" w:cs="仿宋_GB2312"/>
          <w:sz w:val="24"/>
          <w:szCs w:val="24"/>
          <w:highlight w:val="none"/>
          <w:u w:val="single"/>
        </w:rPr>
        <w:t>相关职能部门批复□项目取得初步设计批复</w:t>
      </w:r>
      <w:r>
        <w:rPr>
          <w:rFonts w:hint="eastAsia" w:ascii="仿宋_GB2312" w:hAnsi="仿宋_GB2312" w:eastAsia="仿宋_GB2312" w:cs="仿宋_GB2312"/>
          <w:sz w:val="24"/>
          <w:szCs w:val="24"/>
          <w:highlight w:val="none"/>
        </w:rPr>
        <w:t>，且</w:t>
      </w:r>
      <w:r>
        <w:rPr>
          <w:rFonts w:ascii="仿宋_GB2312" w:hAnsi="仿宋_GB2312" w:eastAsia="仿宋_GB2312" w:cs="仿宋_GB2312"/>
          <w:sz w:val="24"/>
          <w:highlight w:val="none"/>
          <w:u w:val="single"/>
        </w:rPr>
        <w:t>□</w:t>
      </w:r>
      <w:r>
        <w:rPr>
          <w:rFonts w:hint="eastAsia" w:ascii="仿宋_GB2312" w:hAnsi="仿宋_GB2312" w:eastAsia="仿宋_GB2312" w:cs="仿宋_GB2312"/>
          <w:sz w:val="24"/>
          <w:szCs w:val="24"/>
          <w:highlight w:val="none"/>
          <w:u w:val="single"/>
        </w:rPr>
        <w:t>酬金经</w:t>
      </w:r>
      <w:r>
        <w:rPr>
          <w:rFonts w:hint="eastAsia" w:ascii="仿宋_GB2312" w:hAnsi="仿宋_GB2312" w:eastAsia="仿宋_GB2312" w:cs="仿宋_GB2312"/>
          <w:bCs/>
          <w:sz w:val="24"/>
          <w:szCs w:val="24"/>
          <w:highlight w:val="none"/>
          <w:u w:val="single"/>
        </w:rPr>
        <w:t>长沙市政府相关职能部门或长沙市轨道交通集团有限公司授权的单位</w:t>
      </w:r>
      <w:r>
        <w:rPr>
          <w:rFonts w:hint="eastAsia" w:ascii="仿宋_GB2312" w:hAnsi="仿宋_GB2312" w:eastAsia="仿宋_GB2312" w:cs="仿宋_GB2312"/>
          <w:sz w:val="24"/>
          <w:szCs w:val="24"/>
          <w:highlight w:val="none"/>
          <w:u w:val="single"/>
        </w:rPr>
        <w:t>审定后</w:t>
      </w:r>
      <w:r>
        <w:rPr>
          <w:rFonts w:ascii="仿宋_GB2312" w:hAnsi="仿宋_GB2312" w:eastAsia="仿宋_GB2312" w:cs="仿宋_GB2312"/>
          <w:sz w:val="24"/>
          <w:highlight w:val="none"/>
        </w:rPr>
        <w:t>/</w:t>
      </w:r>
      <w:r>
        <w:rPr>
          <w:rFonts w:ascii="仿宋_GB2312" w:hAnsi="仿宋_GB2312" w:eastAsia="仿宋_GB2312" w:cs="仿宋_GB2312"/>
          <w:sz w:val="24"/>
          <w:highlight w:val="none"/>
          <w:u w:val="single"/>
        </w:rPr>
        <w:t>□本项目履约验收合格</w:t>
      </w:r>
      <w:r>
        <w:rPr>
          <w:rFonts w:hint="eastAsia" w:ascii="仿宋_GB2312" w:hAnsi="仿宋_GB2312" w:eastAsia="仿宋_GB2312" w:cs="仿宋_GB2312"/>
          <w:sz w:val="24"/>
          <w:szCs w:val="24"/>
          <w:highlight w:val="none"/>
          <w:u w:val="single"/>
        </w:rPr>
        <w:t>后</w:t>
      </w:r>
      <w:r>
        <w:rPr>
          <w:rFonts w:hint="eastAsia" w:ascii="仿宋_GB2312" w:hAnsi="仿宋_GB2312" w:eastAsia="仿宋_GB2312" w:cs="仿宋_GB2312"/>
          <w:sz w:val="24"/>
          <w:szCs w:val="24"/>
          <w:highlight w:val="none"/>
        </w:rPr>
        <w:t>，支付至酬金的100%。</w:t>
      </w:r>
    </w:p>
    <w:p>
      <w:pPr>
        <w:keepNext w:val="0"/>
        <w:keepLines w:val="0"/>
        <w:kinsoku/>
        <w:wordWrap/>
        <w:overflowPunct/>
        <w:topLinePunct w:val="0"/>
        <w:autoSpaceDE/>
        <w:autoSpaceDN/>
        <w:bidi w:val="0"/>
        <w:adjustRightInd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5.3.2支付时间</w:t>
      </w:r>
    </w:p>
    <w:p>
      <w:pPr>
        <w:keepNext w:val="0"/>
        <w:keepLines w:val="0"/>
        <w:kinsoku/>
        <w:wordWrap/>
        <w:overflowPunct/>
        <w:topLinePunct w:val="0"/>
        <w:autoSpaceDE/>
        <w:autoSpaceDN/>
        <w:bidi w:val="0"/>
        <w:adjustRightInd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上述款项在甲方</w:t>
      </w:r>
      <w:r>
        <w:rPr>
          <w:rFonts w:hint="eastAsia" w:ascii="仿宋_GB2312" w:hAnsi="仿宋_GB2312" w:eastAsia="仿宋_GB2312" w:cs="仿宋_GB2312"/>
          <w:sz w:val="24"/>
          <w:szCs w:val="24"/>
          <w:highlight w:val="none"/>
          <w:lang w:bidi="en-US"/>
        </w:rPr>
        <w:t>收到乙方的经甲方审批同意的支付申请及增值税专用发票、</w:t>
      </w:r>
      <w:r>
        <w:rPr>
          <w:rFonts w:hint="eastAsia" w:ascii="仿宋_GB2312" w:hAnsi="仿宋_GB2312" w:eastAsia="仿宋_GB2312" w:cs="仿宋_GB2312"/>
          <w:sz w:val="24"/>
          <w:szCs w:val="24"/>
          <w:highlight w:val="none"/>
        </w:rPr>
        <w:t>有效期内的履约担保复印件（如有）等相关资料后</w:t>
      </w:r>
      <w:r>
        <w:rPr>
          <w:rFonts w:hint="eastAsia" w:ascii="仿宋_GB2312" w:hAnsi="仿宋_GB2312" w:eastAsia="仿宋_GB2312" w:cs="仿宋_GB2312"/>
          <w:sz w:val="24"/>
          <w:szCs w:val="24"/>
          <w:highlight w:val="none"/>
          <w:lang w:bidi="en-US"/>
        </w:rPr>
        <w:t>28个工作日内支付。</w:t>
      </w:r>
    </w:p>
    <w:bookmarkEnd w:id="75"/>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第六条 合同变更</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本合同的变更必须由双方协商一致，并以书面形式确定。但有下列情形之一的，一方可以向另一方提出变更合同权利与义务的请求，另一方应当在</w:t>
      </w:r>
      <w:r>
        <w:rPr>
          <w:rFonts w:hint="eastAsia" w:ascii="仿宋_GB2312" w:hAnsi="仿宋_GB2312" w:eastAsia="仿宋_GB2312" w:cs="仿宋_GB2312"/>
          <w:highlight w:val="none"/>
          <w:u w:val="single"/>
        </w:rPr>
        <w:t>14</w:t>
      </w:r>
      <w:r>
        <w:rPr>
          <w:rFonts w:hint="eastAsia" w:ascii="仿宋_GB2312" w:hAnsi="仿宋_GB2312" w:eastAsia="仿宋_GB2312" w:cs="仿宋_GB2312"/>
          <w:highlight w:val="none"/>
        </w:rPr>
        <w:t>日内予以答复；逾期未予答复的，视为同意。</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u w:val="single"/>
        </w:rPr>
        <w:t>因发生不可抗力</w:t>
      </w:r>
      <w:r>
        <w:rPr>
          <w:rFonts w:hint="eastAsia" w:ascii="仿宋_GB2312" w:hAnsi="仿宋_GB2312" w:eastAsia="仿宋_GB2312" w:cs="仿宋_GB2312"/>
          <w:highlight w:val="none"/>
        </w:rPr>
        <w:t>；</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rPr>
        <w:t>（2）</w:t>
      </w:r>
      <w:r>
        <w:rPr>
          <w:rFonts w:hint="eastAsia" w:ascii="仿宋_GB2312" w:hAnsi="仿宋_GB2312" w:eastAsia="仿宋_GB2312" w:cs="仿宋_GB2312"/>
          <w:highlight w:val="none"/>
          <w:u w:val="single"/>
        </w:rPr>
        <w:t>上级部门有重大决策或明确指示将项目暂停或取消的</w:t>
      </w:r>
      <w:r>
        <w:rPr>
          <w:rFonts w:hint="eastAsia" w:ascii="仿宋_GB2312" w:hAnsi="仿宋_GB2312" w:eastAsia="仿宋_GB2312" w:cs="仿宋_GB2312"/>
          <w:highlight w:val="none"/>
        </w:rPr>
        <w:t>。</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第七条 咨询工作成果验收</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7.1乙方提交咨询工作成果的形式：</w:t>
      </w:r>
      <w:r>
        <w:rPr>
          <w:rFonts w:hint="eastAsia" w:ascii="仿宋_GB2312" w:hAnsi="仿宋_GB2312" w:eastAsia="仿宋_GB2312" w:cs="仿宋_GB2312"/>
          <w:highlight w:val="none"/>
          <w:u w:val="single"/>
        </w:rPr>
        <w:t>按技术说明及要求执行</w:t>
      </w:r>
      <w:r>
        <w:rPr>
          <w:rFonts w:hint="eastAsia" w:ascii="仿宋_GB2312" w:hAnsi="仿宋_GB2312" w:eastAsia="仿宋_GB2312" w:cs="仿宋_GB2312"/>
          <w:highlight w:val="none"/>
        </w:rPr>
        <w:t>。</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7.2咨询工作成果的验收标准：</w:t>
      </w:r>
      <w:r>
        <w:rPr>
          <w:rFonts w:hint="eastAsia" w:ascii="仿宋_GB2312" w:hAnsi="仿宋_GB2312" w:eastAsia="仿宋_GB2312" w:cs="仿宋_GB2312"/>
          <w:highlight w:val="none"/>
          <w:u w:val="single"/>
        </w:rPr>
        <w:t>按技术说明及要求执行</w:t>
      </w:r>
      <w:r>
        <w:rPr>
          <w:rFonts w:hint="eastAsia" w:ascii="仿宋_GB2312" w:hAnsi="仿宋_GB2312" w:eastAsia="仿宋_GB2312" w:cs="仿宋_GB2312"/>
          <w:highlight w:val="none"/>
        </w:rPr>
        <w:t>。</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7.3咨询工作成果的验收方法：</w:t>
      </w:r>
      <w:r>
        <w:rPr>
          <w:rFonts w:hint="eastAsia" w:ascii="仿宋_GB2312" w:hAnsi="仿宋_GB2312" w:eastAsia="仿宋_GB2312" w:cs="仿宋_GB2312"/>
          <w:highlight w:val="none"/>
          <w:u w:val="single"/>
        </w:rPr>
        <w:t>按技术说明及要求执行</w:t>
      </w:r>
      <w:r>
        <w:rPr>
          <w:rFonts w:hint="eastAsia" w:ascii="仿宋_GB2312" w:hAnsi="仿宋_GB2312" w:eastAsia="仿宋_GB2312" w:cs="仿宋_GB2312"/>
          <w:highlight w:val="none"/>
        </w:rPr>
        <w:t>。</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第八条 违约责任及赔偿责任</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8.1本合同生效后，因甲方原因要求终止或解除合同，当乙方实际完成工作量应付费用大于已付费用时，不足部分由甲方补齐。</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color w:val="FF0000"/>
          <w:highlight w:val="none"/>
        </w:rPr>
      </w:pPr>
      <w:r>
        <w:rPr>
          <w:rFonts w:hint="eastAsia" w:ascii="仿宋_GB2312" w:hAnsi="仿宋_GB2312" w:eastAsia="仿宋_GB2312" w:cs="仿宋_GB2312"/>
          <w:highlight w:val="none"/>
        </w:rPr>
        <w:t>8.2本合同生效后，因乙方原因提前终止合同的，乙方应承担由此给甲方造成的损失，甲方有权没收乙方所交履约担保（如有），同时甲方有权要求乙方按签约酬金的20%交纳违约金。</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8.3甲方按照乙方符合本合同约定标准和方式完成的咨询工作成果作出决策并予以实施所造的损失，乙方应承担全部责任。</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8.4乙方违反本合同第三条规定，每延期一天，甲方有权要求乙方按签约酬金的万分之三支付违约金。</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8.5乙方提交的咨询工作成果不符合合同约定要求的，甲方有权不再支付任何费用，且乙方应予退还甲方已经支付的费用；同时，甲方有权要求乙方支付签约酬金10%的违约金。</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8.6原则上甲方不允许乙方更换项目关键岗位人员，确需更换的，乙方应按相关工程管理规定向甲方申请办理变更手续。经甲方审批同意，每更换一名关键岗位人员，甲方有权要求乙方按签约酬金的千分之五交纳违约金；未经甲方审批同意擅自变更的，一经查实，甲方有权要求乙方按上述标准的双倍交纳违约金。</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8.</w:t>
      </w:r>
      <w:r>
        <w:rPr>
          <w:rFonts w:hint="eastAsia" w:ascii="仿宋_GB2312" w:hAnsi="仿宋_GB2312" w:eastAsia="仿宋_GB2312" w:cs="仿宋_GB2312"/>
          <w:highlight w:val="none"/>
          <w:lang w:val="en-US" w:eastAsia="zh-CN"/>
        </w:rPr>
        <w:t>7</w:t>
      </w:r>
      <w:r>
        <w:rPr>
          <w:rFonts w:hint="eastAsia" w:ascii="仿宋_GB2312" w:hAnsi="仿宋_GB2312" w:eastAsia="仿宋_GB2312" w:cs="仿宋_GB2312"/>
          <w:highlight w:val="none"/>
        </w:rPr>
        <w:t>乙方在接到甲方发出的违约通知后，应按通知要求交纳违约金；否则，甲方有权暂停合同价款支付或从乙方的合同价款中扣除相应的违约金。</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ascii="仿宋_GB2312" w:hAnsi="仿宋_GB2312" w:eastAsia="仿宋_GB2312" w:cs="仿宋_GB2312"/>
          <w:highlight w:val="none"/>
        </w:rPr>
      </w:pPr>
      <w:r>
        <w:rPr>
          <w:rFonts w:hint="eastAsia" w:ascii="仿宋_GB2312" w:hAnsi="仿宋_GB2312" w:eastAsia="仿宋_GB2312" w:cs="仿宋_GB2312"/>
          <w:highlight w:val="none"/>
        </w:rPr>
        <w:t>8.</w:t>
      </w:r>
      <w:r>
        <w:rPr>
          <w:rFonts w:hint="eastAsia" w:ascii="仿宋_GB2312" w:hAnsi="仿宋_GB2312" w:eastAsia="仿宋_GB2312" w:cs="仿宋_GB2312"/>
          <w:highlight w:val="none"/>
          <w:lang w:val="en-US" w:eastAsia="zh-CN"/>
        </w:rPr>
        <w:t>8</w:t>
      </w:r>
      <w:r>
        <w:rPr>
          <w:rFonts w:hint="eastAsia" w:ascii="仿宋_GB2312" w:hAnsi="仿宋_GB2312" w:eastAsia="仿宋_GB2312" w:cs="仿宋_GB2312"/>
          <w:highlight w:val="none"/>
        </w:rPr>
        <w:t>乙方应以现金或转账方式交纳违约金，甲方根据税法相关规定开具收款收据或增值税发票。</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8.</w:t>
      </w:r>
      <w:r>
        <w:rPr>
          <w:rFonts w:hint="eastAsia" w:ascii="仿宋_GB2312" w:hAnsi="仿宋_GB2312" w:eastAsia="仿宋_GB2312" w:cs="仿宋_GB2312"/>
          <w:highlight w:val="none"/>
          <w:lang w:val="en-US" w:eastAsia="zh-CN"/>
        </w:rPr>
        <w:t>9</w:t>
      </w:r>
      <w:r>
        <w:rPr>
          <w:rFonts w:hint="eastAsia" w:ascii="仿宋_GB2312" w:hAnsi="仿宋_GB2312" w:eastAsia="仿宋_GB2312" w:cs="仿宋_GB2312"/>
          <w:highlight w:val="none"/>
        </w:rPr>
        <w:t>因乙方提供的发票导致甲方被税务部门追究相关法律责任的，乙方应承担由此给甲方造成的损失（包括但不限于未抵扣的税费、滞纳金）。</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第九条 知识产权及保密</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9.1在本合同有效期内，甲方利用乙方提交的咨询工作成果所形成的知识产权，归</w:t>
      </w:r>
      <w:r>
        <w:rPr>
          <w:rFonts w:hint="eastAsia" w:ascii="仿宋_GB2312" w:hAnsi="仿宋_GB2312" w:eastAsia="仿宋_GB2312" w:cs="仿宋_GB2312"/>
          <w:highlight w:val="none"/>
          <w:u w:val="single"/>
        </w:rPr>
        <w:t xml:space="preserve"> 甲方 </w:t>
      </w:r>
      <w:r>
        <w:rPr>
          <w:rFonts w:hint="eastAsia" w:ascii="仿宋_GB2312" w:hAnsi="仿宋_GB2312" w:eastAsia="仿宋_GB2312" w:cs="仿宋_GB2312"/>
          <w:highlight w:val="none"/>
        </w:rPr>
        <w:t>所有。</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9.2在本合同有效期内，乙方利用甲方提供的技术资料和工作条件所形成的知识产权，归</w:t>
      </w:r>
      <w:r>
        <w:rPr>
          <w:rFonts w:hint="eastAsia" w:ascii="仿宋_GB2312" w:hAnsi="仿宋_GB2312" w:eastAsia="仿宋_GB2312" w:cs="仿宋_GB2312"/>
          <w:highlight w:val="none"/>
          <w:u w:val="single"/>
        </w:rPr>
        <w:t xml:space="preserve"> 双方 </w:t>
      </w:r>
      <w:r>
        <w:rPr>
          <w:rFonts w:hint="eastAsia" w:ascii="仿宋_GB2312" w:hAnsi="仿宋_GB2312" w:eastAsia="仿宋_GB2312" w:cs="仿宋_GB2312"/>
          <w:highlight w:val="none"/>
        </w:rPr>
        <w:t>所有。</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9.3除法律法规规定或合同另有约定外，未经甲方同意，乙方不得将甲方提供的图纸、文件、声明需要保密的资料信息以及本项目的成果文件等泄露给第三方。</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第十条 双方的项目联系人</w:t>
      </w:r>
    </w:p>
    <w:p>
      <w:pPr>
        <w:pStyle w:val="17"/>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sz w:val="24"/>
          <w:highlight w:val="none"/>
        </w:rPr>
        <w:t>10.1在本合同有效期内，甲乙双方以书面形式确定项目联系人。</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10.2一方变更项目联系人的，应当及时以书面形式通知另一方。未及时通知并影响本合同履行或造成损失的，应承担相应的责任。</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第十一条 合同解除</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11.1出现下列情形之一，致使本合同的履行成为不必要或不可能的，可以解除本合同：</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u w:val="single"/>
        </w:rPr>
        <w:t>发生不可抗力</w:t>
      </w:r>
      <w:r>
        <w:rPr>
          <w:rFonts w:hint="eastAsia" w:ascii="仿宋_GB2312" w:hAnsi="仿宋_GB2312" w:eastAsia="仿宋_GB2312" w:cs="仿宋_GB2312"/>
          <w:highlight w:val="none"/>
        </w:rPr>
        <w:t>；</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（2）</w:t>
      </w:r>
      <w:r>
        <w:rPr>
          <w:rFonts w:hint="eastAsia" w:ascii="仿宋_GB2312" w:hAnsi="仿宋_GB2312" w:eastAsia="仿宋_GB2312" w:cs="仿宋_GB2312"/>
          <w:highlight w:val="none"/>
          <w:u w:val="single"/>
        </w:rPr>
        <w:t>上级部门有重大决策或明确指示将项目取消的</w:t>
      </w:r>
      <w:r>
        <w:rPr>
          <w:rFonts w:hint="eastAsia" w:ascii="仿宋_GB2312" w:hAnsi="仿宋_GB2312" w:eastAsia="仿宋_GB2312" w:cs="仿宋_GB2312"/>
          <w:highlight w:val="none"/>
        </w:rPr>
        <w:t>。</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ascii="仿宋_GB2312" w:hAnsi="仿宋_GB2312" w:eastAsia="仿宋_GB2312" w:cs="仿宋_GB2312"/>
          <w:highlight w:val="none"/>
        </w:rPr>
      </w:pPr>
      <w:r>
        <w:rPr>
          <w:rFonts w:hint="eastAsia" w:ascii="仿宋_GB2312" w:hAnsi="仿宋_GB2312" w:eastAsia="仿宋_GB2312" w:cs="仿宋_GB2312"/>
          <w:highlight w:val="none"/>
        </w:rPr>
        <w:t>（3）违约金总额超过合同签约酬金的20%，甲方有权解除合同。</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11.2任何一方提出解除合同的，应提前30天书面通知对方，违约方应赔偿由此给守约方造成的直接损失和间接损失。因不可抗力导致的合同解除，双方各自承担自身的损失。</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11.3因乙方原因导致的合同解除，按照违约责任处理，甲方有权解除部分或全部合同。解除部分合同的，甲方有权另行委托因部分解除合同而乙方未履行部分，乙方应承担甲方由此产生的费用并继续履行合同中未解除的部分。</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11.4合同解除后，本合同约定的有关结算、争议解决方式的条款仍然有效。</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第十二条 合同终止</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12.1 甲方、乙方履行合同全部义务，合同价款支付完毕，本合同即告终止。</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ascii="仿宋_GB2312" w:hAnsi="仿宋_GB2312" w:eastAsia="仿宋_GB2312" w:cs="仿宋_GB2312"/>
          <w:highlight w:val="none"/>
        </w:rPr>
      </w:pPr>
      <w:r>
        <w:rPr>
          <w:rFonts w:hint="eastAsia" w:ascii="仿宋_GB2312" w:hAnsi="仿宋_GB2312" w:eastAsia="仿宋_GB2312" w:cs="仿宋_GB2312"/>
          <w:highlight w:val="none"/>
        </w:rPr>
        <w:t>12.2合同的权利义务终止后，合同当事人应遵循诚实信用原则，履行通知、协助和保密等义务。</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第十三条 争议解决</w:t>
      </w:r>
    </w:p>
    <w:p>
      <w:pPr>
        <w:keepNext w:val="0"/>
        <w:keepLines w:val="0"/>
        <w:kinsoku/>
        <w:wordWrap/>
        <w:overflowPunct/>
        <w:topLinePunct w:val="0"/>
        <w:autoSpaceDE/>
        <w:autoSpaceDN/>
        <w:bidi w:val="0"/>
        <w:adjustRightInd w:val="0"/>
        <w:snapToGrid w:val="0"/>
        <w:spacing w:line="360" w:lineRule="auto"/>
        <w:ind w:firstLine="480" w:firstLineChars="200"/>
        <w:jc w:val="left"/>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因本合同以及与本合同有关事项发生争议的，双方可以就争议自行和解或请求行政主管部门、行业协会或其他第三方进行调解。自行和解或经调解达成协议的，经签字并盖章后作为合同补充文件，双方均应遵照执行。若当事人不愿和解、调解或者和解、调解不成的，确定采取下列</w:t>
      </w:r>
      <w:r>
        <w:rPr>
          <w:rFonts w:hint="eastAsia" w:ascii="仿宋_GB2312" w:hAnsi="仿宋_GB2312" w:eastAsia="仿宋_GB2312" w:cs="仿宋_GB2312"/>
          <w:sz w:val="24"/>
          <w:highlight w:val="none"/>
          <w:u w:val="single"/>
        </w:rPr>
        <w:t>第（2）种</w:t>
      </w:r>
      <w:r>
        <w:rPr>
          <w:rFonts w:hint="eastAsia" w:ascii="仿宋_GB2312" w:hAnsi="仿宋_GB2312" w:eastAsia="仿宋_GB2312" w:cs="仿宋_GB2312"/>
          <w:sz w:val="24"/>
          <w:highlight w:val="none"/>
        </w:rPr>
        <w:t>方式解决：</w:t>
      </w:r>
    </w:p>
    <w:p>
      <w:pPr>
        <w:keepNext w:val="0"/>
        <w:keepLines w:val="0"/>
        <w:kinsoku/>
        <w:wordWrap/>
        <w:overflowPunct/>
        <w:topLinePunct w:val="0"/>
        <w:autoSpaceDE/>
        <w:autoSpaceDN/>
        <w:bidi w:val="0"/>
        <w:adjustRightInd w:val="0"/>
        <w:snapToGrid w:val="0"/>
        <w:spacing w:line="360" w:lineRule="auto"/>
        <w:ind w:firstLine="480" w:firstLineChars="200"/>
        <w:jc w:val="left"/>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（1）向长沙仲裁委员会提请仲裁；</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szCs w:val="22"/>
          <w:highlight w:val="none"/>
        </w:rPr>
        <w:t>（2）向甲方所在地人民法院提起诉讼。</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第十四条 词语定义及解释</w:t>
      </w:r>
    </w:p>
    <w:p>
      <w:pPr>
        <w:keepNext w:val="0"/>
        <w:keepLines w:val="0"/>
        <w:kinsoku/>
        <w:wordWrap/>
        <w:overflowPunct/>
        <w:topLinePunct w:val="0"/>
        <w:autoSpaceDE/>
        <w:autoSpaceDN/>
        <w:bidi w:val="0"/>
        <w:spacing w:line="360" w:lineRule="auto"/>
        <w:ind w:firstLine="470" w:firstLineChars="196"/>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ascii="仿宋_GB2312" w:hAnsi="仿宋_GB2312" w:eastAsia="仿宋_GB2312" w:cs="仿宋_GB2312"/>
          <w:sz w:val="24"/>
          <w:highlight w:val="none"/>
        </w:rPr>
        <w:t>4</w:t>
      </w:r>
      <w:r>
        <w:rPr>
          <w:rFonts w:hint="eastAsia" w:ascii="仿宋_GB2312" w:hAnsi="仿宋_GB2312" w:eastAsia="仿宋_GB2312" w:cs="仿宋_GB2312"/>
          <w:sz w:val="24"/>
          <w:highlight w:val="none"/>
        </w:rPr>
        <w:t>.1“合同”是指甲乙双方签署的、合同格式中载明的甲乙双方所达成的协议，包括合同协议书、合同条款及合同附件、合同附录和上述文件所提到的构成合同的所有文件。</w:t>
      </w:r>
    </w:p>
    <w:p>
      <w:pPr>
        <w:keepNext w:val="0"/>
        <w:keepLines w:val="0"/>
        <w:kinsoku/>
        <w:wordWrap/>
        <w:overflowPunct/>
        <w:topLinePunct w:val="0"/>
        <w:autoSpaceDE/>
        <w:autoSpaceDN/>
        <w:bidi w:val="0"/>
        <w:spacing w:line="360" w:lineRule="auto"/>
        <w:ind w:firstLine="470" w:firstLineChars="196"/>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ascii="仿宋_GB2312" w:hAnsi="仿宋_GB2312" w:eastAsia="仿宋_GB2312" w:cs="仿宋_GB2312"/>
          <w:sz w:val="24"/>
          <w:highlight w:val="none"/>
        </w:rPr>
        <w:t>4</w:t>
      </w:r>
      <w:r>
        <w:rPr>
          <w:rFonts w:hint="eastAsia" w:ascii="仿宋_GB2312" w:hAnsi="仿宋_GB2312" w:eastAsia="仿宋_GB2312" w:cs="仿宋_GB2312"/>
          <w:sz w:val="24"/>
          <w:highlight w:val="none"/>
        </w:rPr>
        <w:t>.2“签约酬金”是指甲方和乙方在合同协议书中确定的金额，即本项目的中标价或中选价或成交价。</w:t>
      </w:r>
    </w:p>
    <w:p>
      <w:pPr>
        <w:keepNext w:val="0"/>
        <w:keepLines w:val="0"/>
        <w:kinsoku/>
        <w:wordWrap/>
        <w:overflowPunct/>
        <w:topLinePunct w:val="0"/>
        <w:autoSpaceDE/>
        <w:autoSpaceDN/>
        <w:bidi w:val="0"/>
        <w:snapToGrid w:val="0"/>
        <w:spacing w:line="360" w:lineRule="auto"/>
        <w:ind w:firstLine="470" w:firstLineChars="196"/>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ascii="仿宋_GB2312" w:hAnsi="仿宋_GB2312" w:eastAsia="仿宋_GB2312" w:cs="仿宋_GB2312"/>
          <w:sz w:val="24"/>
          <w:highlight w:val="none"/>
        </w:rPr>
        <w:t>4</w:t>
      </w:r>
      <w:r>
        <w:rPr>
          <w:rFonts w:hint="eastAsia" w:ascii="仿宋_GB2312" w:hAnsi="仿宋_GB2312" w:eastAsia="仿宋_GB2312" w:cs="仿宋_GB2312"/>
          <w:sz w:val="24"/>
          <w:highlight w:val="none"/>
        </w:rPr>
        <w:t>.3“酬金”是指根据本合同规定乙方在正确地完全履行合同义务后，按照长沙市政府或其职能部门相关规定，</w:t>
      </w:r>
      <w:r>
        <w:rPr>
          <w:rFonts w:hint="eastAsia" w:ascii="仿宋_GB2312" w:hAnsi="仿宋_GB2312" w:eastAsia="仿宋_GB2312" w:cs="仿宋_GB2312"/>
          <w:sz w:val="24"/>
          <w:szCs w:val="24"/>
          <w:highlight w:val="none"/>
          <w:u w:val="single"/>
        </w:rPr>
        <w:sym w:font="Wingdings 2" w:char="00A3"/>
      </w:r>
      <w:r>
        <w:rPr>
          <w:rFonts w:hint="eastAsia" w:ascii="仿宋_GB2312" w:hAnsi="仿宋_GB2312" w:eastAsia="仿宋_GB2312" w:cs="仿宋_GB2312"/>
          <w:sz w:val="24"/>
          <w:szCs w:val="24"/>
          <w:highlight w:val="none"/>
          <w:u w:val="single"/>
        </w:rPr>
        <w:t>经长沙市政府相关职能部门或长沙市轨道交通集团有限公司</w:t>
      </w:r>
      <w:r>
        <w:rPr>
          <w:rFonts w:hint="eastAsia" w:ascii="仿宋_GB2312" w:hAnsi="仿宋_GB2312" w:eastAsia="仿宋_GB2312" w:cs="仿宋_GB2312"/>
          <w:sz w:val="24"/>
          <w:szCs w:val="24"/>
          <w:highlight w:val="none"/>
          <w:u w:val="single"/>
          <w:shd w:val="clear" w:color="auto" w:fill="FFFFFF"/>
        </w:rPr>
        <w:t>授权的单位</w:t>
      </w:r>
      <w:r>
        <w:rPr>
          <w:rFonts w:hint="eastAsia" w:ascii="仿宋_GB2312" w:hAnsi="仿宋_GB2312" w:eastAsia="仿宋_GB2312" w:cs="仿宋_GB2312"/>
          <w:sz w:val="24"/>
          <w:szCs w:val="24"/>
          <w:highlight w:val="none"/>
          <w:u w:val="single"/>
        </w:rPr>
        <w:t>审定的结算价格</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u w:val="single"/>
        </w:rPr>
        <w:sym w:font="Wingdings 2" w:char="0052"/>
      </w:r>
      <w:r>
        <w:rPr>
          <w:rFonts w:hint="eastAsia" w:ascii="仿宋_GB2312" w:hAnsi="仿宋_GB2312" w:eastAsia="仿宋_GB2312" w:cs="仿宋_GB2312"/>
          <w:sz w:val="24"/>
          <w:szCs w:val="24"/>
          <w:highlight w:val="none"/>
          <w:u w:val="single"/>
        </w:rPr>
        <w:t>履约验收合格确定的最终价款</w:t>
      </w:r>
      <w:r>
        <w:rPr>
          <w:rFonts w:hint="eastAsia" w:ascii="仿宋_GB2312" w:hAnsi="仿宋_GB2312" w:eastAsia="仿宋_GB2312" w:cs="仿宋_GB2312"/>
          <w:sz w:val="24"/>
          <w:highlight w:val="none"/>
        </w:rPr>
        <w:t>。</w:t>
      </w:r>
    </w:p>
    <w:p>
      <w:pPr>
        <w:keepNext w:val="0"/>
        <w:keepLines w:val="0"/>
        <w:kinsoku/>
        <w:wordWrap/>
        <w:overflowPunct/>
        <w:topLinePunct w:val="0"/>
        <w:autoSpaceDE/>
        <w:autoSpaceDN/>
        <w:bidi w:val="0"/>
        <w:adjustRightInd w:val="0"/>
        <w:snapToGrid w:val="0"/>
        <w:spacing w:line="360" w:lineRule="auto"/>
        <w:ind w:firstLine="470" w:firstLineChars="196"/>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14.4“服务”是指根据本合同规定乙方在本项目中应承担所有工作和一切义务。</w:t>
      </w:r>
    </w:p>
    <w:p>
      <w:pPr>
        <w:keepNext w:val="0"/>
        <w:keepLines w:val="0"/>
        <w:kinsoku/>
        <w:wordWrap/>
        <w:overflowPunct/>
        <w:topLinePunct w:val="0"/>
        <w:autoSpaceDE/>
        <w:autoSpaceDN/>
        <w:bidi w:val="0"/>
        <w:snapToGrid w:val="0"/>
        <w:spacing w:line="360" w:lineRule="auto"/>
        <w:ind w:firstLine="470" w:firstLineChars="196"/>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14.5“甲方”是指委托服务的一方以及其合法继承人，即合同协议书中所述的甲方。</w:t>
      </w:r>
    </w:p>
    <w:p>
      <w:pPr>
        <w:keepNext w:val="0"/>
        <w:keepLines w:val="0"/>
        <w:kinsoku/>
        <w:wordWrap/>
        <w:overflowPunct/>
        <w:topLinePunct w:val="0"/>
        <w:autoSpaceDE/>
        <w:autoSpaceDN/>
        <w:bidi w:val="0"/>
        <w:snapToGrid w:val="0"/>
        <w:spacing w:line="360" w:lineRule="auto"/>
        <w:ind w:firstLine="470" w:firstLineChars="196"/>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14.6“乙方”是指承担服务的一方以及其合法继承人，即合同协议书中所述的乙方。</w:t>
      </w:r>
    </w:p>
    <w:p>
      <w:pPr>
        <w:keepNext w:val="0"/>
        <w:keepLines w:val="0"/>
        <w:kinsoku/>
        <w:wordWrap/>
        <w:overflowPunct/>
        <w:topLinePunct w:val="0"/>
        <w:autoSpaceDE/>
        <w:autoSpaceDN/>
        <w:bidi w:val="0"/>
        <w:snapToGrid w:val="0"/>
        <w:spacing w:line="360" w:lineRule="auto"/>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14.7“现场”是指合同协议书中明确的履行服务的现场。</w:t>
      </w:r>
    </w:p>
    <w:p>
      <w:pPr>
        <w:keepNext w:val="0"/>
        <w:keepLines w:val="0"/>
        <w:kinsoku/>
        <w:wordWrap/>
        <w:overflowPunct/>
        <w:topLinePunct w:val="0"/>
        <w:autoSpaceDE/>
        <w:autoSpaceDN/>
        <w:bidi w:val="0"/>
        <w:snapToGrid w:val="0"/>
        <w:spacing w:line="360" w:lineRule="auto"/>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14.8“日”是指任何一天零时至第二天零时的时间段。</w:t>
      </w:r>
    </w:p>
    <w:p>
      <w:pPr>
        <w:keepNext w:val="0"/>
        <w:keepLines w:val="0"/>
        <w:kinsoku/>
        <w:wordWrap/>
        <w:overflowPunct/>
        <w:topLinePunct w:val="0"/>
        <w:autoSpaceDE/>
        <w:autoSpaceDN/>
        <w:bidi w:val="0"/>
        <w:spacing w:line="360" w:lineRule="auto"/>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14.9“月”是指根据公历从一个月份中任何一天开始到下一个月相应日期的前一天的时间段。</w:t>
      </w:r>
    </w:p>
    <w:p>
      <w:pPr>
        <w:keepNext w:val="0"/>
        <w:keepLines w:val="0"/>
        <w:kinsoku/>
        <w:wordWrap/>
        <w:overflowPunct/>
        <w:topLinePunct w:val="0"/>
        <w:autoSpaceDE/>
        <w:autoSpaceDN/>
        <w:bidi w:val="0"/>
        <w:spacing w:line="360" w:lineRule="auto"/>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14.10“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pPr>
        <w:keepNext w:val="0"/>
        <w:keepLines w:val="0"/>
        <w:kinsoku/>
        <w:wordWrap/>
        <w:overflowPunct/>
        <w:topLinePunct w:val="0"/>
        <w:autoSpaceDE/>
        <w:autoSpaceDN/>
        <w:bidi w:val="0"/>
        <w:snapToGrid w:val="0"/>
        <w:spacing w:line="360" w:lineRule="auto"/>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14.11“书面形式”是指合同书、信件和数据电文（包括电报、电传、传真、电子数据交换和电子邮件）等可以有形地表现所载内容的形式。</w:t>
      </w:r>
    </w:p>
    <w:p>
      <w:pPr>
        <w:keepNext w:val="0"/>
        <w:keepLines w:val="0"/>
        <w:kinsoku/>
        <w:wordWrap/>
        <w:overflowPunct/>
        <w:topLinePunct w:val="0"/>
        <w:autoSpaceDE/>
        <w:autoSpaceDN/>
        <w:bidi w:val="0"/>
        <w:snapToGrid w:val="0"/>
        <w:spacing w:line="360" w:lineRule="auto"/>
        <w:ind w:firstLine="48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14.12“不可抗力”是指甲方和乙方在订立本合同时不可预见，在合同履行过程中不可避免并不能克服的自然灾害和社会性突发事件，如地震、海啸、瘟疫、水灾、骚乱、暴动、战争等情形。</w:t>
      </w:r>
    </w:p>
    <w:p>
      <w:pPr>
        <w:keepNext w:val="0"/>
        <w:keepLines w:val="0"/>
        <w:kinsoku/>
        <w:wordWrap/>
        <w:overflowPunct/>
        <w:topLinePunct w:val="0"/>
        <w:autoSpaceDE/>
        <w:autoSpaceDN/>
        <w:bidi w:val="0"/>
        <w:snapToGrid w:val="0"/>
        <w:spacing w:line="360" w:lineRule="auto"/>
        <w:ind w:firstLine="48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14.13“履约验收”系指按照长沙市政府相关职能部门或长沙市轨道交通集团有限公司或长沙市轨道交通集团有限公司授权的单位制定的履约验收相关管理规定办理验收。</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第十五条 合同文件组成及优先顺序</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本合同文件组成及优先顺序为：</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（1）补充协议（如果有）；</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（2）合同协议书；</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（3）中标通知书/中选通知书/谈判记录表；</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ascii="仿宋_GB2312" w:hAnsi="仿宋_GB2312" w:eastAsia="仿宋_GB2312" w:cs="仿宋_GB2312"/>
          <w:sz w:val="24"/>
          <w:szCs w:val="24"/>
          <w:highlight w:val="none"/>
        </w:rPr>
        <w:t>4</w:t>
      </w:r>
      <w:r>
        <w:rPr>
          <w:rFonts w:hint="eastAsia" w:ascii="仿宋_GB2312" w:hAnsi="仿宋_GB2312" w:eastAsia="仿宋_GB2312" w:cs="仿宋_GB2312"/>
          <w:sz w:val="24"/>
          <w:szCs w:val="24"/>
          <w:highlight w:val="none"/>
        </w:rPr>
        <w:t>）技术说明</w:t>
      </w:r>
      <w:r>
        <w:rPr>
          <w:rFonts w:ascii="仿宋_GB2312" w:hAnsi="仿宋_GB2312" w:eastAsia="仿宋_GB2312" w:cs="仿宋_GB2312"/>
          <w:sz w:val="24"/>
          <w:szCs w:val="24"/>
          <w:highlight w:val="none"/>
        </w:rPr>
        <w:t>及要求</w:t>
      </w:r>
      <w:r>
        <w:rPr>
          <w:rFonts w:hint="eastAsia" w:ascii="仿宋_GB2312" w:hAnsi="仿宋_GB2312" w:eastAsia="仿宋_GB2312" w:cs="仿宋_GB2312"/>
          <w:sz w:val="24"/>
          <w:szCs w:val="24"/>
          <w:highlight w:val="none"/>
        </w:rPr>
        <w:t>；</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ascii="仿宋_GB2312" w:hAnsi="仿宋_GB2312" w:eastAsia="仿宋_GB2312" w:cs="仿宋_GB2312"/>
          <w:sz w:val="24"/>
          <w:szCs w:val="24"/>
          <w:highlight w:val="none"/>
        </w:rPr>
        <w:t>5</w:t>
      </w:r>
      <w:r>
        <w:rPr>
          <w:rFonts w:hint="eastAsia" w:ascii="仿宋_GB2312" w:hAnsi="仿宋_GB2312" w:eastAsia="仿宋_GB2312" w:cs="仿宋_GB2312"/>
          <w:sz w:val="24"/>
          <w:szCs w:val="24"/>
          <w:highlight w:val="none"/>
        </w:rPr>
        <w:t xml:space="preserve">）签约酬金清单； </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ascii="仿宋_GB2312" w:hAnsi="仿宋_GB2312" w:eastAsia="仿宋_GB2312" w:cs="仿宋_GB2312"/>
          <w:sz w:val="24"/>
          <w:szCs w:val="24"/>
          <w:highlight w:val="none"/>
        </w:rPr>
        <w:t>6</w:t>
      </w:r>
      <w:r>
        <w:rPr>
          <w:rFonts w:hint="eastAsia" w:ascii="仿宋_GB2312" w:hAnsi="仿宋_GB2312" w:eastAsia="仿宋_GB2312" w:cs="仿宋_GB2312"/>
          <w:sz w:val="24"/>
          <w:szCs w:val="24"/>
          <w:highlight w:val="none"/>
        </w:rPr>
        <w:t>）合同附件及乙方按合同附录格式及要求出具的文件；</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ascii="仿宋_GB2312" w:hAnsi="仿宋_GB2312" w:eastAsia="仿宋_GB2312" w:cs="仿宋_GB2312"/>
          <w:sz w:val="24"/>
          <w:szCs w:val="24"/>
          <w:highlight w:val="none"/>
        </w:rPr>
        <w:t>7</w:t>
      </w:r>
      <w:r>
        <w:rPr>
          <w:rFonts w:hint="eastAsia" w:ascii="仿宋_GB2312" w:hAnsi="仿宋_GB2312" w:eastAsia="仿宋_GB2312" w:cs="仿宋_GB2312"/>
          <w:sz w:val="24"/>
          <w:szCs w:val="24"/>
          <w:highlight w:val="none"/>
        </w:rPr>
        <w:t>）招标文件/自主竞争性谈判文件/直接委托谈判文件 、澄清与答疑文件及其它补充资料；</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ascii="仿宋_GB2312" w:hAnsi="仿宋_GB2312" w:eastAsia="仿宋_GB2312" w:cs="仿宋_GB2312"/>
          <w:sz w:val="24"/>
          <w:szCs w:val="24"/>
          <w:highlight w:val="none"/>
        </w:rPr>
        <w:t>8</w:t>
      </w:r>
      <w:r>
        <w:rPr>
          <w:rFonts w:hint="eastAsia" w:ascii="仿宋_GB2312" w:hAnsi="仿宋_GB2312" w:eastAsia="仿宋_GB2312" w:cs="仿宋_GB2312"/>
          <w:sz w:val="24"/>
          <w:szCs w:val="24"/>
          <w:highlight w:val="none"/>
        </w:rPr>
        <w:t>）投标文件/谈判响应文件、澄清文件及其它补充资料；</w:t>
      </w:r>
    </w:p>
    <w:p>
      <w:pPr>
        <w:keepNext w:val="0"/>
        <w:keepLines w:val="0"/>
        <w:kinsoku/>
        <w:wordWrap/>
        <w:overflowPunct/>
        <w:topLinePunct w:val="0"/>
        <w:autoSpaceDE/>
        <w:autoSpaceDN/>
        <w:bidi w:val="0"/>
        <w:snapToGrid w:val="0"/>
        <w:spacing w:line="360" w:lineRule="auto"/>
        <w:ind w:firstLine="480" w:firstLineChars="200"/>
        <w:outlineLvl w:val="9"/>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ascii="仿宋_GB2312" w:hAnsi="仿宋_GB2312" w:eastAsia="仿宋_GB2312" w:cs="仿宋_GB2312"/>
          <w:sz w:val="24"/>
          <w:szCs w:val="24"/>
          <w:highlight w:val="none"/>
        </w:rPr>
        <w:t>9</w:t>
      </w:r>
      <w:r>
        <w:rPr>
          <w:rFonts w:hint="eastAsia" w:ascii="仿宋_GB2312" w:hAnsi="仿宋_GB2312" w:eastAsia="仿宋_GB2312" w:cs="仿宋_GB2312"/>
          <w:sz w:val="24"/>
          <w:szCs w:val="24"/>
          <w:highlight w:val="none"/>
        </w:rPr>
        <w:t>）其他构成本合同的文件。</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上述各项合同文件包括合同当事人就该项合同文件所作出的补充和修改，属于同一类内容的文件，应以最新签署的为准。</w:t>
      </w:r>
    </w:p>
    <w:p>
      <w:pPr>
        <w:keepNext w:val="0"/>
        <w:keepLines w:val="0"/>
        <w:kinsoku/>
        <w:wordWrap/>
        <w:overflowPunct/>
        <w:topLinePunct w:val="0"/>
        <w:autoSpaceDE/>
        <w:autoSpaceDN/>
        <w:bidi w:val="0"/>
        <w:snapToGrid w:val="0"/>
        <w:spacing w:line="360" w:lineRule="auto"/>
        <w:ind w:firstLine="480" w:firstLineChars="200"/>
        <w:outlineLvl w:val="9"/>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在合同履行过程中形成的与合同有关的文件均构成合同文件组成部分，并根据其性质确定优先解释顺序。</w:t>
      </w:r>
    </w:p>
    <w:p>
      <w:pPr>
        <w:pStyle w:val="17"/>
        <w:keepNext w:val="0"/>
        <w:keepLines w:val="0"/>
        <w:kinsoku/>
        <w:wordWrap/>
        <w:overflowPunct/>
        <w:topLinePunct w:val="0"/>
        <w:autoSpaceDE/>
        <w:autoSpaceDN/>
        <w:bidi w:val="0"/>
        <w:snapToGrid w:val="0"/>
        <w:spacing w:line="360" w:lineRule="auto"/>
        <w:ind w:firstLine="482" w:firstLineChars="200"/>
        <w:outlineLvl w:val="9"/>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第十六条 不可抗力</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ascii="仿宋_GB2312" w:hAnsi="仿宋_GB2312" w:eastAsia="仿宋_GB2312" w:cs="仿宋_GB2312"/>
          <w:sz w:val="24"/>
          <w:szCs w:val="24"/>
          <w:highlight w:val="none"/>
        </w:rPr>
        <w:t>6</w:t>
      </w:r>
      <w:r>
        <w:rPr>
          <w:rFonts w:hint="eastAsia" w:ascii="仿宋_GB2312" w:hAnsi="仿宋_GB2312" w:eastAsia="仿宋_GB2312" w:cs="仿宋_GB2312"/>
          <w:sz w:val="24"/>
          <w:szCs w:val="24"/>
          <w:highlight w:val="none"/>
        </w:rPr>
        <w:t>.1不可抗力的确认</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不可抗力发生后，合同当事人应收集证明不可抗力发生及不可抗力造成损失的证据，并及时认真统计所造成的损失。合同当事人对是否属于不可抗力或其损失发生争议时，按第十三条〔争议解决〕的约定处理。</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ascii="仿宋_GB2312" w:hAnsi="仿宋_GB2312" w:eastAsia="仿宋_GB2312" w:cs="仿宋_GB2312"/>
          <w:sz w:val="24"/>
          <w:szCs w:val="24"/>
          <w:highlight w:val="none"/>
        </w:rPr>
        <w:t>6</w:t>
      </w:r>
      <w:r>
        <w:rPr>
          <w:rFonts w:hint="eastAsia" w:ascii="仿宋_GB2312" w:hAnsi="仿宋_GB2312" w:eastAsia="仿宋_GB2312" w:cs="仿宋_GB2312"/>
          <w:sz w:val="24"/>
          <w:szCs w:val="24"/>
          <w:highlight w:val="none"/>
        </w:rPr>
        <w:t>.2不可抗力的通知</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合同一方当事人遇到不可抗力事件，使其履行合同义务受到阻碍时，应立即通知合同另一方当事人，书面说明不可抗力和受阻碍的详细情况，并在合理期限内提供必要的证明。</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不可抗力持续发生的，合同一方当事人应及时向合同另一方当事人提交中间报告，说明不可抗力和履行合同受阻的情况，并于不可抗力事件结束后28天内提交最终报告及有关资料。</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ascii="仿宋_GB2312" w:hAnsi="仿宋_GB2312" w:eastAsia="仿宋_GB2312" w:cs="仿宋_GB2312"/>
          <w:sz w:val="24"/>
          <w:szCs w:val="24"/>
          <w:highlight w:val="none"/>
        </w:rPr>
        <w:t>6</w:t>
      </w:r>
      <w:r>
        <w:rPr>
          <w:rFonts w:hint="eastAsia" w:ascii="仿宋_GB2312" w:hAnsi="仿宋_GB2312" w:eastAsia="仿宋_GB2312" w:cs="仿宋_GB2312"/>
          <w:sz w:val="24"/>
          <w:szCs w:val="24"/>
          <w:highlight w:val="none"/>
        </w:rPr>
        <w:t>.3不可抗力后果的承担</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不可抗力引起的后果及造成的损失由合同当事人按照法律规定及合同约定各自承担。不可抗力发生前已完成的工作应当按照合同约定进行支付。</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不可抗力发生后，合同当事人均应采取措施尽量避免和减少损失的扩大，任何一方当事人没有采取有效措施导致损失扩大的，应对扩大的损失承担责任。</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因合同一方迟延履行合同义务，在迟延履行期间遭遇不可抗力的，不免除其违约责任。</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第十七条 履约担保</w:t>
      </w:r>
    </w:p>
    <w:p>
      <w:pPr>
        <w:keepNext w:val="0"/>
        <w:keepLines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17.1乙方</w:t>
      </w:r>
      <w:r>
        <w:rPr>
          <w:rFonts w:hint="eastAsia" w:ascii="仿宋_GB2312" w:hAnsi="仿宋_GB2312" w:eastAsia="仿宋_GB2312" w:cs="仿宋_GB2312"/>
          <w:sz w:val="24"/>
          <w:highlight w:val="none"/>
          <w:u w:val="single"/>
        </w:rPr>
        <w:sym w:font="Wingdings 2" w:char="0052"/>
      </w:r>
      <w:r>
        <w:rPr>
          <w:rFonts w:hint="eastAsia" w:ascii="仿宋_GB2312" w:hAnsi="仿宋_GB2312" w:eastAsia="仿宋_GB2312" w:cs="仿宋_GB2312"/>
          <w:sz w:val="24"/>
          <w:highlight w:val="none"/>
          <w:u w:val="single"/>
        </w:rPr>
        <w:t>需要</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t>□不需要</w:t>
      </w:r>
      <w:r>
        <w:rPr>
          <w:rFonts w:hint="eastAsia" w:ascii="仿宋_GB2312" w:hAnsi="仿宋_GB2312" w:eastAsia="仿宋_GB2312" w:cs="仿宋_GB2312"/>
          <w:sz w:val="24"/>
          <w:highlight w:val="none"/>
        </w:rPr>
        <w:t>提供履约担保。</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highlight w:val="none"/>
        </w:rPr>
        <w:t>17.2如需要乙方提供履约担保，则：</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1）履约担保用于补偿甲方因乙方不能完成其合同义务而蒙受的损失，是办理投标担保（如有）退还手续及合同价款支付手续的必要条件之一。</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2）乙方提供履约担保的形式、金额及期限可采用以下方式之一：</w:t>
      </w:r>
    </w:p>
    <w:p>
      <w:pPr>
        <w:keepNext w:val="0"/>
        <w:keepLines w:val="0"/>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a、采用银行履约保函形式，银行履约保函的担保额度为签约</w:t>
      </w:r>
      <w:r>
        <w:rPr>
          <w:rFonts w:hint="eastAsia" w:ascii="仿宋_GB2312" w:hAnsi="仿宋_GB2312" w:eastAsia="仿宋_GB2312" w:cs="仿宋_GB2312"/>
          <w:sz w:val="24"/>
          <w:szCs w:val="24"/>
          <w:highlight w:val="none"/>
          <w:u w:val="single"/>
        </w:rPr>
        <w:t>酬金</w:t>
      </w:r>
      <w:r>
        <w:rPr>
          <w:rFonts w:hint="eastAsia" w:ascii="仿宋_GB2312" w:hAnsi="仿宋_GB2312" w:eastAsia="仿宋_GB2312" w:cs="仿宋_GB2312"/>
          <w:sz w:val="24"/>
          <w:szCs w:val="24"/>
          <w:highlight w:val="none"/>
        </w:rPr>
        <w:t>的10%，担保期限为自保函生效之日起，至服务期满之日止。银行履约保函应为在中国境内注册和营业的银行出具的、以甲方为受益人首次申请即作为无条件付款的保函，银行履约保函格式具体详见合同附录。</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b、采用现金形式，现金担保额度为签约酬金的10%，担保期限为履约保证金到账之日起，至合同约定的服务期满之日止。履约担保以现金形式提交的，乙方应从其基本账户通过转帐或电汇至甲方指定的账户。</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3）如需提供履约担保，则乙方应确保提供的银行履约保函持续有效，在银行履约保函到期前1个月内办理好续保手续，并向甲方提供新的有效的银行履约保函。</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4)如需提供履约担保，合同履约未完成而履约担保到期的，乙方应在履约担保到期后的首次办理合同价款支付手续时提供有效的续保文件。</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）在乙方完成其合同义务包括任何保证义务后，甲方将把履约担保无息退还乙方。</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第十八条 法律适用</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本合同适用中华人民共和国现行法律、行政法规和规章，如合同条款与法律、行政法规和规章不一致的，按照法律、行政法规和规章修改本合同。</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第十九条 通知</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19.1本合同一方给另一方的通知均应采用书面形式，传真或快递送到本合同中规定的对方的地址和办理签收手续</w:t>
      </w:r>
      <w:r>
        <w:rPr>
          <w:rFonts w:hint="eastAsia" w:ascii="仿宋_GB2312" w:hAnsi="仿宋_GB2312" w:eastAsia="仿宋_GB2312" w:cs="仿宋_GB2312"/>
          <w:highlight w:val="none"/>
          <w:lang w:eastAsia="zh-CN"/>
        </w:rPr>
        <w:t>。</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19.2通知以送到之日或通知书中规定的生效之日起生效，两者中以较迟之日为准。</w:t>
      </w:r>
    </w:p>
    <w:p>
      <w:pPr>
        <w:pStyle w:val="17"/>
        <w:keepNext w:val="0"/>
        <w:keepLines w:val="0"/>
        <w:kinsoku/>
        <w:wordWrap/>
        <w:overflowPunct/>
        <w:topLinePunct w:val="0"/>
        <w:autoSpaceDE/>
        <w:autoSpaceDN/>
        <w:bidi w:val="0"/>
        <w:snapToGrid w:val="0"/>
        <w:spacing w:line="360" w:lineRule="auto"/>
        <w:ind w:firstLine="482" w:firstLineChars="20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第二十条 其他约定</w:t>
      </w:r>
    </w:p>
    <w:p>
      <w:pPr>
        <w:keepNext w:val="0"/>
        <w:keepLines w:val="0"/>
        <w:kinsoku/>
        <w:wordWrap/>
        <w:overflowPunct/>
        <w:topLinePunct w:val="0"/>
        <w:autoSpaceDE/>
        <w:autoSpaceDN/>
        <w:bidi w:val="0"/>
        <w:spacing w:line="360" w:lineRule="auto"/>
        <w:ind w:firstLine="465"/>
        <w:outlineLvl w:val="9"/>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20</w:t>
      </w:r>
      <w:r>
        <w:rPr>
          <w:rFonts w:hint="eastAsia" w:ascii="仿宋_GB2312" w:hAnsi="仿宋_GB2312" w:eastAsia="仿宋_GB2312" w:cs="仿宋_GB2312"/>
          <w:sz w:val="24"/>
          <w:szCs w:val="24"/>
          <w:highlight w:val="none"/>
        </w:rPr>
        <w:t>.1合同签订时间</w:t>
      </w:r>
    </w:p>
    <w:p>
      <w:pPr>
        <w:keepNext w:val="0"/>
        <w:keepLines w:val="0"/>
        <w:kinsoku/>
        <w:wordWrap/>
        <w:overflowPunct/>
        <w:topLinePunct w:val="0"/>
        <w:autoSpaceDE/>
        <w:autoSpaceDN/>
        <w:bidi w:val="0"/>
        <w:spacing w:line="360" w:lineRule="auto"/>
        <w:ind w:firstLine="465"/>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本合同于</w:t>
      </w:r>
      <w:r>
        <w:rPr>
          <w:rFonts w:hint="eastAsia" w:ascii="仿宋_GB2312" w:hAnsi="仿宋_GB2312" w:eastAsia="仿宋_GB2312" w:cs="仿宋_GB2312"/>
          <w:bCs/>
          <w:sz w:val="24"/>
          <w:szCs w:val="24"/>
          <w:highlight w:val="none"/>
          <w:u w:val="single"/>
        </w:rPr>
        <w:t xml:space="preserve">      </w:t>
      </w:r>
      <w:r>
        <w:rPr>
          <w:rFonts w:hint="eastAsia" w:ascii="仿宋_GB2312" w:hAnsi="仿宋_GB2312" w:eastAsia="仿宋_GB2312" w:cs="仿宋_GB2312"/>
          <w:bCs/>
          <w:sz w:val="24"/>
          <w:szCs w:val="24"/>
          <w:highlight w:val="none"/>
        </w:rPr>
        <w:t>年</w:t>
      </w:r>
      <w:r>
        <w:rPr>
          <w:rFonts w:hint="eastAsia" w:ascii="仿宋_GB2312" w:hAnsi="仿宋_GB2312" w:eastAsia="仿宋_GB2312" w:cs="仿宋_GB2312"/>
          <w:bCs/>
          <w:sz w:val="24"/>
          <w:szCs w:val="24"/>
          <w:highlight w:val="none"/>
          <w:u w:val="single"/>
        </w:rPr>
        <w:t xml:space="preserve">   </w:t>
      </w:r>
      <w:r>
        <w:rPr>
          <w:rFonts w:hint="eastAsia" w:ascii="仿宋_GB2312" w:hAnsi="仿宋_GB2312" w:eastAsia="仿宋_GB2312" w:cs="仿宋_GB2312"/>
          <w:bCs/>
          <w:sz w:val="24"/>
          <w:szCs w:val="24"/>
          <w:highlight w:val="none"/>
        </w:rPr>
        <w:t>月</w:t>
      </w:r>
      <w:r>
        <w:rPr>
          <w:rFonts w:hint="eastAsia" w:ascii="仿宋_GB2312" w:hAnsi="仿宋_GB2312" w:eastAsia="仿宋_GB2312" w:cs="仿宋_GB2312"/>
          <w:bCs/>
          <w:sz w:val="24"/>
          <w:szCs w:val="24"/>
          <w:highlight w:val="none"/>
          <w:u w:val="single"/>
        </w:rPr>
        <w:t xml:space="preserve">   </w:t>
      </w:r>
      <w:r>
        <w:rPr>
          <w:rFonts w:hint="eastAsia" w:ascii="仿宋_GB2312" w:hAnsi="仿宋_GB2312" w:eastAsia="仿宋_GB2312" w:cs="仿宋_GB2312"/>
          <w:bCs/>
          <w:sz w:val="24"/>
          <w:szCs w:val="24"/>
          <w:highlight w:val="none"/>
        </w:rPr>
        <w:t>日签订。</w:t>
      </w:r>
      <w:bookmarkStart w:id="76" w:name="_Toc457826148"/>
      <w:bookmarkStart w:id="77" w:name="_Toc351203490"/>
      <w:bookmarkStart w:id="78" w:name="_Toc406150419"/>
    </w:p>
    <w:p>
      <w:pPr>
        <w:keepNext w:val="0"/>
        <w:keepLines w:val="0"/>
        <w:kinsoku/>
        <w:wordWrap/>
        <w:overflowPunct/>
        <w:topLinePunct w:val="0"/>
        <w:autoSpaceDE/>
        <w:autoSpaceDN/>
        <w:bidi w:val="0"/>
        <w:spacing w:line="360" w:lineRule="auto"/>
        <w:ind w:firstLine="465"/>
        <w:outlineLvl w:val="9"/>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20.</w:t>
      </w:r>
      <w:r>
        <w:rPr>
          <w:rFonts w:hint="eastAsia" w:ascii="仿宋_GB2312" w:hAnsi="仿宋_GB2312" w:eastAsia="仿宋_GB2312" w:cs="仿宋_GB2312"/>
          <w:sz w:val="24"/>
          <w:szCs w:val="24"/>
          <w:highlight w:val="none"/>
        </w:rPr>
        <w:t>2合同签订地点</w:t>
      </w:r>
      <w:bookmarkEnd w:id="76"/>
      <w:bookmarkEnd w:id="77"/>
      <w:bookmarkEnd w:id="78"/>
    </w:p>
    <w:p>
      <w:pPr>
        <w:keepNext w:val="0"/>
        <w:keepLines w:val="0"/>
        <w:kinsoku/>
        <w:wordWrap/>
        <w:overflowPunct/>
        <w:topLinePunct w:val="0"/>
        <w:autoSpaceDE/>
        <w:autoSpaceDN/>
        <w:bidi w:val="0"/>
        <w:spacing w:line="360" w:lineRule="auto"/>
        <w:ind w:firstLine="465"/>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本合同在</w:t>
      </w:r>
      <w:r>
        <w:rPr>
          <w:rFonts w:hint="eastAsia" w:ascii="仿宋_GB2312" w:hAnsi="仿宋_GB2312" w:eastAsia="仿宋_GB2312" w:cs="仿宋_GB2312"/>
          <w:bCs/>
          <w:sz w:val="24"/>
          <w:szCs w:val="24"/>
          <w:highlight w:val="none"/>
          <w:u w:val="single"/>
        </w:rPr>
        <w:t xml:space="preserve"> 湖南省长沙市雨花区 </w:t>
      </w:r>
      <w:r>
        <w:rPr>
          <w:rFonts w:hint="eastAsia" w:ascii="仿宋_GB2312" w:hAnsi="仿宋_GB2312" w:eastAsia="仿宋_GB2312" w:cs="仿宋_GB2312"/>
          <w:bCs/>
          <w:sz w:val="24"/>
          <w:szCs w:val="24"/>
          <w:highlight w:val="none"/>
        </w:rPr>
        <w:t>签订。</w:t>
      </w:r>
      <w:bookmarkStart w:id="79" w:name="_Toc406150420"/>
      <w:bookmarkStart w:id="80" w:name="_Toc351203492"/>
      <w:bookmarkStart w:id="81" w:name="_Toc457826149"/>
    </w:p>
    <w:p>
      <w:pPr>
        <w:keepNext w:val="0"/>
        <w:keepLines w:val="0"/>
        <w:kinsoku/>
        <w:wordWrap/>
        <w:overflowPunct/>
        <w:topLinePunct w:val="0"/>
        <w:autoSpaceDE/>
        <w:autoSpaceDN/>
        <w:bidi w:val="0"/>
        <w:spacing w:line="360" w:lineRule="auto"/>
        <w:ind w:firstLine="465"/>
        <w:outlineLvl w:val="9"/>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20</w:t>
      </w:r>
      <w:r>
        <w:rPr>
          <w:rFonts w:hint="eastAsia" w:ascii="仿宋_GB2312" w:hAnsi="仿宋_GB2312" w:eastAsia="仿宋_GB2312" w:cs="仿宋_GB2312"/>
          <w:sz w:val="24"/>
          <w:szCs w:val="24"/>
          <w:highlight w:val="none"/>
        </w:rPr>
        <w:t>.3合同生效</w:t>
      </w:r>
      <w:bookmarkEnd w:id="79"/>
      <w:bookmarkEnd w:id="80"/>
      <w:bookmarkEnd w:id="81"/>
    </w:p>
    <w:p>
      <w:pPr>
        <w:keepNext w:val="0"/>
        <w:keepLines w:val="0"/>
        <w:kinsoku/>
        <w:wordWrap/>
        <w:overflowPunct/>
        <w:topLinePunct w:val="0"/>
        <w:autoSpaceDE/>
        <w:autoSpaceDN/>
        <w:bidi w:val="0"/>
        <w:spacing w:line="360" w:lineRule="auto"/>
        <w:ind w:firstLine="465"/>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本合同自</w:t>
      </w:r>
      <w:r>
        <w:rPr>
          <w:rFonts w:hint="eastAsia" w:ascii="仿宋_GB2312" w:hAnsi="仿宋_GB2312" w:eastAsia="仿宋_GB2312" w:cs="仿宋_GB2312"/>
          <w:sz w:val="24"/>
          <w:szCs w:val="24"/>
          <w:highlight w:val="none"/>
          <w:u w:val="single"/>
        </w:rPr>
        <w:t>合同双方法定代表人或其授权代表签字并加盖合同专用章</w:t>
      </w:r>
      <w:r>
        <w:rPr>
          <w:rFonts w:hint="eastAsia" w:ascii="仿宋_GB2312" w:hAnsi="仿宋_GB2312" w:eastAsia="仿宋_GB2312" w:cs="仿宋_GB2312"/>
          <w:bCs/>
          <w:sz w:val="24"/>
          <w:szCs w:val="24"/>
          <w:highlight w:val="none"/>
        </w:rPr>
        <w:t>生效。</w:t>
      </w:r>
      <w:bookmarkStart w:id="82" w:name="_Toc457826150"/>
    </w:p>
    <w:p>
      <w:pPr>
        <w:keepNext w:val="0"/>
        <w:keepLines w:val="0"/>
        <w:kinsoku/>
        <w:wordWrap/>
        <w:overflowPunct/>
        <w:topLinePunct w:val="0"/>
        <w:autoSpaceDE/>
        <w:autoSpaceDN/>
        <w:bidi w:val="0"/>
        <w:spacing w:line="360" w:lineRule="auto"/>
        <w:ind w:firstLine="465"/>
        <w:outlineLvl w:val="9"/>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20</w:t>
      </w:r>
      <w:r>
        <w:rPr>
          <w:rFonts w:hint="eastAsia" w:ascii="仿宋_GB2312" w:hAnsi="仿宋_GB2312" w:eastAsia="仿宋_GB2312" w:cs="仿宋_GB2312"/>
          <w:sz w:val="24"/>
          <w:szCs w:val="24"/>
          <w:highlight w:val="none"/>
        </w:rPr>
        <w:t>.4合同份数</w:t>
      </w:r>
      <w:bookmarkEnd w:id="82"/>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ascii="仿宋_GB2312" w:hAnsi="仿宋_GB2312" w:eastAsia="仿宋_GB2312" w:cs="仿宋_GB2312"/>
          <w:highlight w:val="none"/>
        </w:rPr>
      </w:pPr>
      <w:r>
        <w:rPr>
          <w:rFonts w:hint="eastAsia" w:ascii="仿宋_GB2312" w:hAnsi="仿宋_GB2312" w:eastAsia="仿宋_GB2312" w:cs="仿宋_GB2312"/>
          <w:highlight w:val="none"/>
        </w:rPr>
        <w:t>本合同一式十二份（其中正本二份、副本十份），甲方执八份（一正七副）、乙方执四份（一正三副）。合同正本和副本具有同等效力，当合同副本与正本之间存有差异时，以合同正本为准。</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u w:val="single"/>
        </w:rPr>
      </w:pPr>
      <w:r>
        <w:rPr>
          <w:rFonts w:ascii="仿宋_GB2312" w:hAnsi="仿宋_GB2312" w:eastAsia="仿宋_GB2312" w:cs="仿宋_GB2312"/>
          <w:highlight w:val="none"/>
        </w:rPr>
        <w:t>20</w:t>
      </w:r>
      <w:r>
        <w:rPr>
          <w:rFonts w:hint="eastAsia" w:ascii="仿宋_GB2312" w:hAnsi="仿宋_GB2312" w:eastAsia="仿宋_GB2312" w:cs="仿宋_GB2312"/>
          <w:highlight w:val="none"/>
        </w:rPr>
        <w:t>.5甲乙双方约定的其他事项（本条约定与合同条款中其他约定不一致时，以本条为准）：</w:t>
      </w:r>
      <w:r>
        <w:rPr>
          <w:rFonts w:hint="eastAsia" w:ascii="仿宋_GB2312" w:hAnsi="仿宋_GB2312" w:eastAsia="仿宋_GB2312" w:cs="仿宋_GB2312"/>
          <w:highlight w:val="none"/>
          <w:u w:val="single"/>
        </w:rPr>
        <w:t>20.5.1第一部分合同协议书 第三条服务期限及进度要求 修改</w:t>
      </w:r>
      <w:r>
        <w:rPr>
          <w:rFonts w:hint="eastAsia" w:ascii="仿宋_GB2312" w:hAnsi="仿宋_GB2312" w:eastAsia="仿宋_GB2312" w:cs="仿宋_GB2312"/>
          <w:highlight w:val="none"/>
          <w:u w:val="single"/>
          <w:lang w:val="en-US" w:eastAsia="zh-CN"/>
        </w:rPr>
        <w:t>为“</w:t>
      </w:r>
      <w:r>
        <w:rPr>
          <w:rFonts w:hint="eastAsia" w:ascii="仿宋_GB2312" w:hAnsi="仿宋_GB2312" w:eastAsia="仿宋_GB2312" w:cs="仿宋_GB2312"/>
          <w:highlight w:val="none"/>
          <w:u w:val="single"/>
        </w:rPr>
        <w:t>与招采文件一致，各阶段进度应满足甲方咨询服务进度要求，具体实施中再根据甲方批准计划落实，总的进度要求以满足甲方要求为原则</w:t>
      </w:r>
      <w:r>
        <w:rPr>
          <w:rFonts w:hint="eastAsia" w:ascii="仿宋_GB2312" w:hAnsi="仿宋_GB2312" w:eastAsia="仿宋_GB2312" w:cs="仿宋_GB2312"/>
          <w:highlight w:val="none"/>
          <w:u w:val="single"/>
          <w:lang w:val="en-US" w:eastAsia="zh-CN"/>
        </w:rPr>
        <w:t>”</w:t>
      </w:r>
      <w:r>
        <w:rPr>
          <w:rFonts w:hint="eastAsia" w:ascii="仿宋_GB2312" w:hAnsi="仿宋_GB2312" w:eastAsia="仿宋_GB2312" w:cs="仿宋_GB2312"/>
          <w:highlight w:val="none"/>
          <w:u w:val="single"/>
        </w:rPr>
        <w:t>。</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u w:val="single"/>
        </w:rPr>
        <w:t>20.5.2 第一部分合同协议书第四条 甲、乙双方的权利义务4.2 乙方的权利义务4.2.5修改为</w:t>
      </w:r>
      <w:r>
        <w:rPr>
          <w:rFonts w:hint="eastAsia" w:ascii="仿宋_GB2312" w:hAnsi="仿宋_GB2312" w:eastAsia="仿宋_GB2312" w:cs="仿宋_GB2312"/>
          <w:highlight w:val="none"/>
          <w:u w:val="single"/>
          <w:lang w:eastAsia="zh-CN"/>
        </w:rPr>
        <w:t>“</w:t>
      </w:r>
      <w:r>
        <w:rPr>
          <w:rFonts w:hint="eastAsia" w:ascii="仿宋_GB2312" w:hAnsi="仿宋_GB2312" w:eastAsia="仿宋_GB2312" w:cs="仿宋_GB2312"/>
          <w:highlight w:val="none"/>
          <w:u w:val="single"/>
        </w:rPr>
        <w:t>乙方应按照法律法规的要求购买其工作人员的相关保险并使保险合同在合同服务期内保持有效，并承担其工作人员现场工作期间所产生的一切费用</w:t>
      </w:r>
      <w:r>
        <w:rPr>
          <w:rFonts w:hint="eastAsia" w:ascii="仿宋_GB2312" w:hAnsi="仿宋_GB2312" w:eastAsia="仿宋_GB2312" w:cs="仿宋_GB2312"/>
          <w:highlight w:val="none"/>
          <w:u w:val="single"/>
          <w:lang w:eastAsia="zh-CN"/>
        </w:rPr>
        <w:t>”</w:t>
      </w:r>
      <w:r>
        <w:rPr>
          <w:rFonts w:hint="eastAsia" w:ascii="仿宋_GB2312" w:hAnsi="仿宋_GB2312" w:eastAsia="仿宋_GB2312" w:cs="仿宋_GB2312"/>
          <w:highlight w:val="none"/>
          <w:u w:val="single"/>
        </w:rPr>
        <w:t>。</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u w:val="single"/>
        </w:rPr>
        <w:t>20.5.3删除第一部分合同协议书第四条 甲、乙双方的权利义务4.2 乙方的权利义务4.2.8乙方应确保本合同约定的关键岗位人员应专职服务于本项目。</w:t>
      </w:r>
    </w:p>
    <w:p>
      <w:pPr>
        <w:pStyle w:val="43"/>
        <w:keepNext w:val="0"/>
        <w:keepLines w:val="0"/>
        <w:kinsoku/>
        <w:wordWrap/>
        <w:overflowPunct/>
        <w:topLinePunct w:val="0"/>
        <w:autoSpaceDE/>
        <w:autoSpaceDN/>
        <w:bidi w:val="0"/>
        <w:snapToGrid w:val="0"/>
        <w:spacing w:before="0" w:beforeAutospacing="0" w:after="0" w:afterAutospacing="0" w:line="360" w:lineRule="auto"/>
        <w:ind w:firstLine="480" w:firstLineChars="200"/>
        <w:outlineLvl w:val="9"/>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u w:val="single"/>
          <w:lang w:val="en-US" w:eastAsia="zh-CN"/>
        </w:rPr>
        <w:t>20.5.4第一部分</w:t>
      </w:r>
      <w:r>
        <w:rPr>
          <w:rFonts w:hint="eastAsia" w:ascii="仿宋_GB2312" w:hAnsi="仿宋_GB2312" w:eastAsia="仿宋_GB2312" w:cs="仿宋_GB2312"/>
          <w:highlight w:val="none"/>
          <w:u w:val="single"/>
        </w:rPr>
        <w:t>第九条 知识产权及保密9.3修改为“在本合同有效期内以及期满以后，乙方对甲方提供的资料负有保密义务，除法律法规规定或合同另有约定外，未经甲方同意，乙方不得以任何形式将甲方提供的图纸、文件、声明需要保密的资料信息以及本项目的成果文件等向第三方泄露、披露、出卖等，也不得用于合同约定范围以外的其他用途。</w:t>
      </w:r>
    </w:p>
    <w:p>
      <w:pPr>
        <w:pStyle w:val="4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textAlignment w:val="auto"/>
        <w:outlineLvl w:val="9"/>
        <w:rPr>
          <w:rFonts w:hint="eastAsia" w:ascii="仿宋_GB2312" w:hAnsi="仿宋_GB2312" w:eastAsia="仿宋_GB2312" w:cs="仿宋_GB2312"/>
          <w:kern w:val="2"/>
          <w:highlight w:val="none"/>
        </w:rPr>
      </w:pPr>
      <w:r>
        <w:rPr>
          <w:rFonts w:hint="eastAsia" w:ascii="仿宋_GB2312" w:hAnsi="仿宋_GB2312" w:eastAsia="仿宋_GB2312" w:cs="仿宋_GB2312"/>
          <w:highlight w:val="none"/>
          <w:u w:val="single"/>
          <w:lang w:val="en-US" w:eastAsia="zh-CN"/>
        </w:rPr>
        <w:t>20.5.5</w:t>
      </w:r>
      <w:r>
        <w:rPr>
          <w:rFonts w:hint="eastAsia" w:ascii="仿宋_GB2312" w:hAnsi="仿宋_GB2312" w:eastAsia="仿宋_GB2312" w:cs="仿宋_GB2312"/>
          <w:highlight w:val="none"/>
          <w:u w:val="single"/>
        </w:rPr>
        <w:t>本合同中甲方涉及多个签约主体，各签约主体根据签约合同价清单各自承担资金的支付、发票的收讫，互不承担连带责任。</w:t>
      </w:r>
      <w:r>
        <w:rPr>
          <w:rFonts w:hint="eastAsia" w:ascii="仿宋_GB2312" w:hAnsi="仿宋_GB2312" w:eastAsia="仿宋_GB2312" w:cs="仿宋_GB2312"/>
          <w:highlight w:val="none"/>
        </w:rPr>
        <w:br w:type="page"/>
      </w:r>
      <w:r>
        <w:rPr>
          <w:rFonts w:hint="eastAsia" w:ascii="仿宋_GB2312" w:hAnsi="仿宋_GB2312" w:eastAsia="仿宋_GB2312" w:cs="仿宋_GB2312"/>
          <w:kern w:val="2"/>
          <w:highlight w:val="none"/>
        </w:rPr>
        <w:t>（本页无正文）</w:t>
      </w:r>
    </w:p>
    <w:p>
      <w:pPr>
        <w:keepNext w:val="0"/>
        <w:keepLines w:val="0"/>
        <w:widowControl/>
        <w:kinsoku/>
        <w:wordWrap/>
        <w:overflowPunct/>
        <w:topLinePunct w:val="0"/>
        <w:autoSpaceDE/>
        <w:autoSpaceDN/>
        <w:bidi w:val="0"/>
        <w:snapToGrid w:val="0"/>
        <w:spacing w:line="360" w:lineRule="auto"/>
        <w:ind w:firstLine="465"/>
        <w:jc w:val="left"/>
        <w:outlineLvl w:val="9"/>
        <w:rPr>
          <w:rFonts w:hint="eastAsia" w:ascii="仿宋_GB2312" w:hAnsi="仿宋_GB2312" w:eastAsia="仿宋_GB2312" w:cs="仿宋_GB2312"/>
          <w:sz w:val="24"/>
          <w:szCs w:val="24"/>
          <w:highlight w:val="none"/>
        </w:rPr>
      </w:pPr>
    </w:p>
    <w:p>
      <w:pPr>
        <w:keepNext w:val="0"/>
        <w:keepLines w:val="0"/>
        <w:widowControl/>
        <w:kinsoku/>
        <w:wordWrap/>
        <w:overflowPunct/>
        <w:topLinePunct w:val="0"/>
        <w:autoSpaceDE/>
        <w:autoSpaceDN/>
        <w:bidi w:val="0"/>
        <w:snapToGrid w:val="0"/>
        <w:spacing w:line="360" w:lineRule="auto"/>
        <w:ind w:firstLine="465"/>
        <w:jc w:val="left"/>
        <w:outlineLvl w:val="9"/>
        <w:rPr>
          <w:rFonts w:hint="eastAsia" w:ascii="仿宋_GB2312" w:hAnsi="仿宋_GB2312" w:eastAsia="仿宋_GB2312" w:cs="仿宋_GB2312"/>
          <w:sz w:val="24"/>
          <w:szCs w:val="24"/>
          <w:highlight w:val="none"/>
        </w:rPr>
      </w:pPr>
    </w:p>
    <w:tbl>
      <w:tblPr>
        <w:tblStyle w:val="47"/>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委托方（甲方）：(盖章)</w:t>
            </w:r>
          </w:p>
          <w:p>
            <w:pPr>
              <w:pStyle w:val="27"/>
              <w:keepNext w:val="0"/>
              <w:keepLines w:val="0"/>
              <w:kinsoku/>
              <w:wordWrap/>
              <w:overflowPunct/>
              <w:topLinePunct w:val="0"/>
              <w:autoSpaceDE/>
              <w:autoSpaceDN/>
              <w:bidi w:val="0"/>
              <w:snapToGrid w:val="0"/>
              <w:spacing w:line="360" w:lineRule="auto"/>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 xml:space="preserve"> </w:t>
            </w:r>
          </w:p>
        </w:tc>
        <w:tc>
          <w:tcPr>
            <w:tcW w:w="4252"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受托方（乙方）：（盖章）</w:t>
            </w:r>
          </w:p>
          <w:p>
            <w:pPr>
              <w:pStyle w:val="27"/>
              <w:keepNext w:val="0"/>
              <w:keepLines w:val="0"/>
              <w:kinsoku/>
              <w:wordWrap/>
              <w:overflowPunct/>
              <w:topLinePunct w:val="0"/>
              <w:autoSpaceDE/>
              <w:autoSpaceDN/>
              <w:bidi w:val="0"/>
              <w:snapToGrid w:val="0"/>
              <w:spacing w:line="360" w:lineRule="auto"/>
              <w:outlineLvl w:val="9"/>
              <w:rPr>
                <w:rFonts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858" w:hRule="atLeast"/>
          <w:jc w:val="center"/>
        </w:trPr>
        <w:tc>
          <w:tcPr>
            <w:tcW w:w="4467"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ind w:left="19" w:leftChars="9"/>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法定代表人或其授权代表：</w:t>
            </w:r>
          </w:p>
          <w:p>
            <w:pPr>
              <w:pStyle w:val="27"/>
              <w:keepNext w:val="0"/>
              <w:keepLines w:val="0"/>
              <w:kinsoku/>
              <w:wordWrap/>
              <w:overflowPunct/>
              <w:topLinePunct w:val="0"/>
              <w:autoSpaceDE/>
              <w:autoSpaceDN/>
              <w:bidi w:val="0"/>
              <w:snapToGrid w:val="0"/>
              <w:spacing w:line="360" w:lineRule="auto"/>
              <w:ind w:left="19" w:leftChars="9"/>
              <w:outlineLvl w:val="9"/>
              <w:rPr>
                <w:rFonts w:ascii="仿宋_GB2312" w:hAnsi="仿宋_GB2312" w:eastAsia="仿宋_GB2312" w:cs="仿宋_GB2312"/>
                <w:sz w:val="24"/>
                <w:highlight w:val="none"/>
              </w:rPr>
            </w:pPr>
          </w:p>
        </w:tc>
        <w:tc>
          <w:tcPr>
            <w:tcW w:w="4252"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ind w:left="34" w:leftChars="16"/>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法定代表人或其授权代表：</w:t>
            </w:r>
          </w:p>
          <w:p>
            <w:pPr>
              <w:pStyle w:val="27"/>
              <w:keepNext w:val="0"/>
              <w:keepLines w:val="0"/>
              <w:kinsoku/>
              <w:wordWrap/>
              <w:overflowPunct/>
              <w:topLinePunct w:val="0"/>
              <w:autoSpaceDE/>
              <w:autoSpaceDN/>
              <w:bidi w:val="0"/>
              <w:snapToGrid w:val="0"/>
              <w:spacing w:line="360" w:lineRule="auto"/>
              <w:ind w:left="34" w:leftChars="16"/>
              <w:outlineLvl w:val="9"/>
              <w:rPr>
                <w:rFonts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地址：</w:t>
            </w:r>
            <w:r>
              <w:rPr>
                <w:rFonts w:hint="eastAsia" w:ascii="仿宋_GB2312" w:hAnsi="仿宋_GB2312" w:eastAsia="仿宋_GB2312" w:cs="仿宋_GB2312"/>
                <w:sz w:val="24"/>
                <w:highlight w:val="none"/>
              </w:rPr>
              <w:t>湖南省长沙市雨花区杜花路166号</w:t>
            </w:r>
            <w:r>
              <w:rPr>
                <w:rFonts w:ascii="仿宋_GB2312" w:hAnsi="仿宋_GB2312" w:eastAsia="仿宋_GB2312" w:cs="仿宋_GB2312"/>
                <w:sz w:val="24"/>
                <w:highlight w:val="none"/>
              </w:rPr>
              <w:t xml:space="preserve">  </w:t>
            </w:r>
          </w:p>
        </w:tc>
        <w:tc>
          <w:tcPr>
            <w:tcW w:w="4252"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地址：</w:t>
            </w:r>
          </w:p>
        </w:tc>
      </w:tr>
      <w:tr>
        <w:tblPrEx>
          <w:tblCellMar>
            <w:top w:w="0" w:type="dxa"/>
            <w:left w:w="108" w:type="dxa"/>
            <w:bottom w:w="0" w:type="dxa"/>
            <w:right w:w="108" w:type="dxa"/>
          </w:tblCellMar>
        </w:tblPrEx>
        <w:trPr>
          <w:trHeight w:val="816" w:hRule="atLeast"/>
          <w:jc w:val="center"/>
        </w:trPr>
        <w:tc>
          <w:tcPr>
            <w:tcW w:w="4467"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邮编：</w:t>
            </w:r>
            <w:r>
              <w:rPr>
                <w:rFonts w:hint="eastAsia" w:ascii="仿宋_GB2312" w:hAnsi="仿宋_GB2312" w:eastAsia="仿宋_GB2312" w:cs="仿宋_GB2312"/>
                <w:sz w:val="24"/>
                <w:highlight w:val="none"/>
                <w:lang w:val="en-US" w:eastAsia="zh-CN"/>
              </w:rPr>
              <w:t>410000</w:t>
            </w:r>
            <w:r>
              <w:rPr>
                <w:rFonts w:ascii="仿宋_GB2312" w:hAnsi="仿宋_GB2312" w:eastAsia="仿宋_GB2312" w:cs="仿宋_GB2312"/>
                <w:sz w:val="24"/>
                <w:highlight w:val="none"/>
              </w:rPr>
              <w:t xml:space="preserve"> </w:t>
            </w:r>
          </w:p>
        </w:tc>
        <w:tc>
          <w:tcPr>
            <w:tcW w:w="4252"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ind w:left="34" w:leftChars="16"/>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邮编：</w:t>
            </w:r>
          </w:p>
        </w:tc>
      </w:tr>
      <w:tr>
        <w:tblPrEx>
          <w:tblCellMar>
            <w:top w:w="0" w:type="dxa"/>
            <w:left w:w="108" w:type="dxa"/>
            <w:bottom w:w="0" w:type="dxa"/>
            <w:right w:w="108" w:type="dxa"/>
          </w:tblCellMar>
        </w:tblPrEx>
        <w:trPr>
          <w:trHeight w:val="753" w:hRule="atLeast"/>
          <w:jc w:val="center"/>
        </w:trPr>
        <w:tc>
          <w:tcPr>
            <w:tcW w:w="4467"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ind w:left="19" w:leftChars="9"/>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电话：</w:t>
            </w:r>
            <w:r>
              <w:rPr>
                <w:rFonts w:hint="eastAsia" w:ascii="仿宋_GB2312" w:hAnsi="仿宋_GB2312" w:eastAsia="仿宋_GB2312" w:cs="仿宋_GB2312"/>
                <w:sz w:val="24"/>
                <w:highlight w:val="none"/>
              </w:rPr>
              <w:t>0731-86852223</w:t>
            </w:r>
            <w:r>
              <w:rPr>
                <w:rFonts w:ascii="仿宋_GB2312" w:hAnsi="仿宋_GB2312" w:eastAsia="仿宋_GB2312" w:cs="仿宋_GB2312"/>
                <w:sz w:val="24"/>
                <w:highlight w:val="none"/>
              </w:rPr>
              <w:t xml:space="preserve"> </w:t>
            </w:r>
          </w:p>
        </w:tc>
        <w:tc>
          <w:tcPr>
            <w:tcW w:w="4252"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ind w:left="34" w:leftChars="16"/>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电话：</w:t>
            </w:r>
          </w:p>
        </w:tc>
      </w:tr>
      <w:tr>
        <w:tblPrEx>
          <w:tblCellMar>
            <w:top w:w="0" w:type="dxa"/>
            <w:left w:w="108" w:type="dxa"/>
            <w:bottom w:w="0" w:type="dxa"/>
            <w:right w:w="108" w:type="dxa"/>
          </w:tblCellMar>
        </w:tblPrEx>
        <w:trPr>
          <w:trHeight w:val="783" w:hRule="atLeast"/>
          <w:jc w:val="center"/>
        </w:trPr>
        <w:tc>
          <w:tcPr>
            <w:tcW w:w="4467"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ind w:left="19" w:leftChars="9"/>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传真：</w:t>
            </w:r>
            <w:r>
              <w:rPr>
                <w:rFonts w:hint="eastAsia" w:ascii="仿宋_GB2312" w:hAnsi="仿宋_GB2312" w:eastAsia="仿宋_GB2312" w:cs="仿宋_GB2312"/>
                <w:sz w:val="24"/>
                <w:highlight w:val="none"/>
                <w:lang w:val="en-US" w:eastAsia="zh-CN"/>
              </w:rPr>
              <w:t>/</w:t>
            </w:r>
            <w:r>
              <w:rPr>
                <w:rFonts w:ascii="仿宋_GB2312" w:hAnsi="仿宋_GB2312" w:eastAsia="仿宋_GB2312" w:cs="仿宋_GB2312"/>
                <w:sz w:val="24"/>
                <w:highlight w:val="none"/>
              </w:rPr>
              <w:t xml:space="preserve"> </w:t>
            </w:r>
          </w:p>
        </w:tc>
        <w:tc>
          <w:tcPr>
            <w:tcW w:w="4252"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ind w:left="34" w:leftChars="16"/>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传真：</w:t>
            </w: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ind w:left="19" w:leftChars="9"/>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开户银行：</w:t>
            </w:r>
            <w:r>
              <w:rPr>
                <w:rFonts w:hint="eastAsia" w:ascii="仿宋_GB2312" w:hAnsi="仿宋_GB2312" w:eastAsia="仿宋_GB2312" w:cs="仿宋_GB2312"/>
                <w:sz w:val="24"/>
                <w:highlight w:val="none"/>
                <w:lang w:val="en-US" w:eastAsia="zh-CN"/>
              </w:rPr>
              <w:t>/</w:t>
            </w:r>
          </w:p>
        </w:tc>
        <w:tc>
          <w:tcPr>
            <w:tcW w:w="4252"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ind w:left="34" w:leftChars="16"/>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开户银行：</w:t>
            </w:r>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ind w:left="19" w:leftChars="9"/>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账号：</w:t>
            </w:r>
            <w:r>
              <w:rPr>
                <w:rFonts w:hint="eastAsia" w:ascii="仿宋_GB2312" w:hAnsi="仿宋_GB2312" w:eastAsia="仿宋_GB2312" w:cs="仿宋_GB2312"/>
                <w:sz w:val="24"/>
                <w:highlight w:val="none"/>
                <w:lang w:val="en-US" w:eastAsia="zh-CN"/>
              </w:rPr>
              <w:t>/</w:t>
            </w:r>
          </w:p>
          <w:p>
            <w:pPr>
              <w:pStyle w:val="27"/>
              <w:keepNext w:val="0"/>
              <w:keepLines w:val="0"/>
              <w:kinsoku/>
              <w:wordWrap/>
              <w:overflowPunct/>
              <w:topLinePunct w:val="0"/>
              <w:autoSpaceDE/>
              <w:autoSpaceDN/>
              <w:bidi w:val="0"/>
              <w:snapToGrid w:val="0"/>
              <w:spacing w:line="360" w:lineRule="auto"/>
              <w:outlineLvl w:val="9"/>
              <w:rPr>
                <w:rFonts w:ascii="仿宋_GB2312" w:hAnsi="仿宋_GB2312" w:eastAsia="仿宋_GB2312" w:cs="仿宋_GB2312"/>
                <w:sz w:val="24"/>
                <w:highlight w:val="none"/>
              </w:rPr>
            </w:pPr>
          </w:p>
        </w:tc>
        <w:tc>
          <w:tcPr>
            <w:tcW w:w="4252"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ind w:left="34" w:leftChars="16"/>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账号：</w:t>
            </w:r>
          </w:p>
          <w:p>
            <w:pPr>
              <w:pStyle w:val="27"/>
              <w:keepNext w:val="0"/>
              <w:keepLines w:val="0"/>
              <w:kinsoku/>
              <w:wordWrap/>
              <w:overflowPunct/>
              <w:topLinePunct w:val="0"/>
              <w:autoSpaceDE/>
              <w:autoSpaceDN/>
              <w:bidi w:val="0"/>
              <w:snapToGrid w:val="0"/>
              <w:spacing w:line="360" w:lineRule="auto"/>
              <w:ind w:left="34" w:leftChars="16"/>
              <w:outlineLvl w:val="9"/>
              <w:rPr>
                <w:rFonts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ind w:left="19" w:leftChars="9"/>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时间：</w:t>
            </w:r>
          </w:p>
        </w:tc>
        <w:tc>
          <w:tcPr>
            <w:tcW w:w="4252" w:type="dxa"/>
            <w:tcBorders>
              <w:top w:val="nil"/>
              <w:left w:val="nil"/>
              <w:bottom w:val="nil"/>
              <w:right w:val="nil"/>
            </w:tcBorders>
            <w:noWrap w:val="0"/>
            <w:vAlign w:val="top"/>
          </w:tcPr>
          <w:p>
            <w:pPr>
              <w:pStyle w:val="27"/>
              <w:keepNext w:val="0"/>
              <w:keepLines w:val="0"/>
              <w:kinsoku/>
              <w:wordWrap/>
              <w:overflowPunct/>
              <w:topLinePunct w:val="0"/>
              <w:autoSpaceDE/>
              <w:autoSpaceDN/>
              <w:bidi w:val="0"/>
              <w:snapToGrid w:val="0"/>
              <w:spacing w:line="360" w:lineRule="auto"/>
              <w:ind w:left="34" w:leftChars="16"/>
              <w:outlineLvl w:val="9"/>
              <w:rPr>
                <w:rFonts w:ascii="仿宋_GB2312" w:hAnsi="仿宋_GB2312" w:eastAsia="仿宋_GB2312" w:cs="仿宋_GB2312"/>
                <w:sz w:val="24"/>
                <w:highlight w:val="none"/>
              </w:rPr>
            </w:pPr>
            <w:r>
              <w:rPr>
                <w:rFonts w:ascii="仿宋_GB2312" w:hAnsi="仿宋_GB2312" w:eastAsia="仿宋_GB2312" w:cs="仿宋_GB2312"/>
                <w:sz w:val="24"/>
                <w:highlight w:val="none"/>
              </w:rPr>
              <w:t>时间：</w:t>
            </w:r>
          </w:p>
        </w:tc>
      </w:tr>
    </w:tbl>
    <w:p>
      <w:pPr>
        <w:pStyle w:val="43"/>
        <w:keepNext w:val="0"/>
        <w:keepLines w:val="0"/>
        <w:kinsoku/>
        <w:wordWrap/>
        <w:overflowPunct/>
        <w:topLinePunct w:val="0"/>
        <w:autoSpaceDE/>
        <w:autoSpaceDN/>
        <w:bidi w:val="0"/>
        <w:snapToGrid w:val="0"/>
        <w:spacing w:before="0" w:beforeAutospacing="0" w:after="0" w:afterAutospacing="0" w:line="360" w:lineRule="auto"/>
        <w:outlineLvl w:val="9"/>
        <w:rPr>
          <w:rFonts w:hint="eastAsia" w:ascii="仿宋_GB2312" w:hAnsi="仿宋_GB2312" w:eastAsia="仿宋_GB2312" w:cs="仿宋_GB2312"/>
          <w:highlight w:val="none"/>
        </w:rPr>
      </w:pPr>
    </w:p>
    <w:p>
      <w:pPr>
        <w:pStyle w:val="43"/>
        <w:keepNext w:val="0"/>
        <w:keepLines w:val="0"/>
        <w:kinsoku/>
        <w:wordWrap/>
        <w:overflowPunct/>
        <w:topLinePunct w:val="0"/>
        <w:autoSpaceDE/>
        <w:autoSpaceDN/>
        <w:bidi w:val="0"/>
        <w:snapToGrid w:val="0"/>
        <w:spacing w:before="0" w:beforeAutospacing="0" w:after="0" w:afterAutospacing="0" w:line="360" w:lineRule="auto"/>
        <w:outlineLvl w:val="9"/>
        <w:rPr>
          <w:rFonts w:hint="eastAsia" w:ascii="仿宋_GB2312" w:hAnsi="仿宋_GB2312" w:eastAsia="仿宋_GB2312" w:cs="仿宋_GB2312"/>
          <w:highlight w:val="none"/>
        </w:rPr>
      </w:pPr>
    </w:p>
    <w:p>
      <w:pPr>
        <w:keepNext w:val="0"/>
        <w:keepLines w:val="0"/>
        <w:pageBreakBefore w:val="0"/>
        <w:tabs>
          <w:tab w:val="left" w:pos="2580"/>
          <w:tab w:val="center" w:pos="5121"/>
        </w:tabs>
        <w:kinsoku/>
        <w:wordWrap/>
        <w:overflowPunct/>
        <w:topLinePunct w:val="0"/>
        <w:autoSpaceDE/>
        <w:autoSpaceDN/>
        <w:bidi w:val="0"/>
        <w:snapToGrid w:val="0"/>
        <w:spacing w:line="360" w:lineRule="auto"/>
        <w:ind w:left="0" w:leftChars="0"/>
        <w:jc w:val="center"/>
        <w:textAlignment w:val="auto"/>
        <w:outlineLvl w:val="9"/>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br w:type="page"/>
      </w:r>
      <w:bookmarkStart w:id="83" w:name="_Toc501718834"/>
      <w:r>
        <w:rPr>
          <w:rFonts w:hint="eastAsia" w:ascii="仿宋_GB2312" w:hAnsi="仿宋_GB2312" w:eastAsia="仿宋_GB2312" w:cs="仿宋_GB2312"/>
          <w:b/>
          <w:bCs/>
          <w:highlight w:val="none"/>
        </w:rPr>
        <w:t>第二部分 合同附件</w:t>
      </w:r>
      <w:bookmarkEnd w:id="83"/>
    </w:p>
    <w:p>
      <w:pPr>
        <w:pStyle w:val="17"/>
        <w:keepNext w:val="0"/>
        <w:keepLines w:val="0"/>
        <w:pageBreakBefore w:val="0"/>
        <w:kinsoku/>
        <w:wordWrap/>
        <w:overflowPunct/>
        <w:topLinePunct w:val="0"/>
        <w:autoSpaceDE/>
        <w:autoSpaceDN/>
        <w:bidi w:val="0"/>
        <w:snapToGrid w:val="0"/>
        <w:spacing w:line="360" w:lineRule="auto"/>
        <w:ind w:left="0" w:leftChars="0" w:firstLine="0"/>
        <w:textAlignment w:val="auto"/>
        <w:outlineLvl w:val="9"/>
        <w:rPr>
          <w:rFonts w:hint="eastAsia" w:ascii="仿宋_GB2312" w:hAnsi="仿宋_GB2312" w:eastAsia="仿宋_GB2312" w:cs="仿宋_GB2312"/>
          <w:b/>
          <w:sz w:val="24"/>
          <w:highlight w:val="none"/>
        </w:rPr>
      </w:pPr>
      <w:bookmarkStart w:id="84" w:name="_Toc501718835"/>
      <w:bookmarkStart w:id="85" w:name="_Toc501718838"/>
      <w:r>
        <w:rPr>
          <w:rFonts w:hint="eastAsia" w:ascii="仿宋_GB2312" w:hAnsi="仿宋_GB2312" w:eastAsia="仿宋_GB2312" w:cs="仿宋_GB2312"/>
          <w:b/>
          <w:sz w:val="24"/>
          <w:highlight w:val="none"/>
        </w:rPr>
        <w:t>附件1 廉政协议</w:t>
      </w:r>
    </w:p>
    <w:p>
      <w:pPr>
        <w:keepNext w:val="0"/>
        <w:keepLines w:val="0"/>
        <w:pageBreakBefore w:val="0"/>
        <w:kinsoku/>
        <w:wordWrap/>
        <w:overflowPunct/>
        <w:topLinePunct w:val="0"/>
        <w:autoSpaceDE/>
        <w:autoSpaceDN/>
        <w:bidi w:val="0"/>
        <w:adjustRightInd w:val="0"/>
        <w:snapToGrid w:val="0"/>
        <w:spacing w:line="360" w:lineRule="auto"/>
        <w:ind w:left="0" w:leftChars="0"/>
        <w:jc w:val="center"/>
        <w:textAlignment w:val="auto"/>
        <w:outlineLvl w:val="9"/>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廉政协议</w:t>
      </w:r>
    </w:p>
    <w:p>
      <w:pPr>
        <w:keepNext w:val="0"/>
        <w:keepLines w:val="0"/>
        <w:pageBreakBefore w:val="0"/>
        <w:widowControl/>
        <w:kinsoku/>
        <w:wordWrap/>
        <w:overflowPunct/>
        <w:topLinePunct w:val="0"/>
        <w:autoSpaceDE/>
        <w:autoSpaceDN/>
        <w:bidi w:val="0"/>
        <w:snapToGrid w:val="0"/>
        <w:spacing w:line="360" w:lineRule="auto"/>
        <w:ind w:left="0" w:leftChars="0"/>
        <w:jc w:val="left"/>
        <w:textAlignment w:val="auto"/>
        <w:outlineLvl w:val="9"/>
        <w:rPr>
          <w:rFonts w:hint="eastAsia" w:ascii="仿宋_GB2312" w:hAnsi="仿宋_GB2312" w:eastAsia="仿宋_GB2312" w:cs="仿宋_GB2312"/>
          <w:sz w:val="24"/>
          <w:szCs w:val="24"/>
          <w:highlight w:val="none"/>
          <w:lang w:bidi="en-US"/>
        </w:rPr>
      </w:pPr>
    </w:p>
    <w:bookmarkEnd w:id="84"/>
    <w:bookmarkEnd w:id="85"/>
    <w:p>
      <w:pPr>
        <w:pStyle w:val="17"/>
        <w:keepNext w:val="0"/>
        <w:keepLines w:val="0"/>
        <w:pageBreakBefore w:val="0"/>
        <w:kinsoku/>
        <w:wordWrap/>
        <w:overflowPunct/>
        <w:topLinePunct w:val="0"/>
        <w:autoSpaceDE/>
        <w:autoSpaceDN/>
        <w:bidi w:val="0"/>
        <w:snapToGrid w:val="0"/>
        <w:spacing w:line="360" w:lineRule="auto"/>
        <w:ind w:left="0" w:leftChars="0" w:firstLine="0"/>
        <w:jc w:val="left"/>
        <w:textAlignment w:val="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长沙市轨道交通运营有限公司</w:t>
      </w:r>
    </w:p>
    <w:p>
      <w:pPr>
        <w:pStyle w:val="17"/>
        <w:keepNext w:val="0"/>
        <w:keepLines w:val="0"/>
        <w:pageBreakBefore w:val="0"/>
        <w:kinsoku/>
        <w:wordWrap/>
        <w:overflowPunct/>
        <w:topLinePunct w:val="0"/>
        <w:autoSpaceDE/>
        <w:autoSpaceDN/>
        <w:bidi w:val="0"/>
        <w:snapToGrid w:val="0"/>
        <w:spacing w:line="360" w:lineRule="auto"/>
        <w:ind w:left="0" w:leftChars="0" w:firstLine="0"/>
        <w:jc w:val="left"/>
        <w:textAlignment w:val="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u w:val="single"/>
        </w:rPr>
        <w:t>长沙市轨道交通四号线建设发展有限公司</w:t>
      </w:r>
    </w:p>
    <w:p>
      <w:pPr>
        <w:pStyle w:val="17"/>
        <w:keepNext w:val="0"/>
        <w:keepLines w:val="0"/>
        <w:pageBreakBefore w:val="0"/>
        <w:kinsoku/>
        <w:wordWrap/>
        <w:overflowPunct/>
        <w:topLinePunct w:val="0"/>
        <w:autoSpaceDE/>
        <w:autoSpaceDN/>
        <w:bidi w:val="0"/>
        <w:snapToGrid w:val="0"/>
        <w:spacing w:line="360" w:lineRule="auto"/>
        <w:ind w:left="0" w:leftChars="0" w:firstLine="0"/>
        <w:jc w:val="left"/>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r>
        <w:rPr>
          <w:rFonts w:hint="eastAsia" w:ascii="仿宋_GB2312" w:hAnsi="仿宋_GB2312" w:eastAsia="仿宋_GB2312" w:cs="仿宋_GB2312"/>
          <w:sz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480"/>
        <w:jc w:val="left"/>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根据国家法律、法规以及有关廉政建设的规定，为做好合同执行过程中党风廉政建设，保证建设及运营资金的安全和有效使用以及投资效益，甲、乙双方特订立如下廉政协议：</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bookmarkStart w:id="86" w:name="_Toc59896701"/>
      <w:bookmarkStart w:id="87" w:name="_Toc59900969"/>
      <w:r>
        <w:rPr>
          <w:rFonts w:hint="eastAsia" w:ascii="仿宋_GB2312" w:hAnsi="仿宋_GB2312" w:eastAsia="仿宋_GB2312" w:cs="仿宋_GB2312"/>
          <w:sz w:val="24"/>
          <w:highlight w:val="none"/>
        </w:rPr>
        <w:t xml:space="preserve">第一条 </w:t>
      </w:r>
      <w:bookmarkEnd w:id="86"/>
      <w:bookmarkEnd w:id="87"/>
      <w:r>
        <w:rPr>
          <w:rFonts w:hint="eastAsia" w:ascii="仿宋_GB2312" w:hAnsi="仿宋_GB2312" w:eastAsia="仿宋_GB2312" w:cs="仿宋_GB2312"/>
          <w:sz w:val="24"/>
          <w:highlight w:val="none"/>
        </w:rPr>
        <w:t>共同责任</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（一）严格遵守党和国家有关法律法规及湖南省、长沙市的相关规定。</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（二）严格执行</w:t>
      </w:r>
      <w:r>
        <w:rPr>
          <w:rFonts w:hint="eastAsia" w:ascii="仿宋_GB2312" w:hAnsi="仿宋_GB2312" w:eastAsia="仿宋_GB2312" w:cs="仿宋_GB2312"/>
          <w:sz w:val="24"/>
          <w:highlight w:val="none"/>
          <w:u w:val="single"/>
        </w:rPr>
        <w:t>长沙市轨道交通2号线电客车首轮大修、4号线电客车首轮架修概算编制咨询服务项目</w:t>
      </w:r>
      <w:r>
        <w:rPr>
          <w:rFonts w:hint="eastAsia" w:ascii="仿宋_GB2312" w:hAnsi="仿宋_GB2312" w:eastAsia="仿宋_GB2312" w:cs="仿宋_GB2312"/>
          <w:sz w:val="24"/>
          <w:highlight w:val="none"/>
        </w:rPr>
        <w:t>（以下称主合同）的合同文件，自觉按合同办事。</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（三）双方的业务活动坚持公开、公正、诚信、透明的原则（除法律认定的商业秘密和合同文件另有规定之外），不得损害国家和集体利益，违反工程建设规章制度。</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（四）建立健全廉政制度，开展廉政教育，设立廉政告示牌，公布举报电话，监督并认真查处违纪违法行为。</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（五）发现对方在业务活动中有违反廉政规定的行为，有及时提醒对方纠正的权利和义务。</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第二条 共同权利</w:t>
      </w:r>
    </w:p>
    <w:p>
      <w:pPr>
        <w:keepNext w:val="0"/>
        <w:keepLines w:val="0"/>
        <w:pageBreakBefore w:val="0"/>
        <w:kinsoku/>
        <w:wordWrap/>
        <w:overflowPunct/>
        <w:topLinePunct w:val="0"/>
        <w:autoSpaceDE/>
        <w:autoSpaceDN/>
        <w:bidi w:val="0"/>
        <w:adjustRightInd w:val="0"/>
        <w:snapToGrid w:val="0"/>
        <w:spacing w:line="360" w:lineRule="auto"/>
        <w:ind w:left="0" w:leftChars="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发现对方严重违反本协议义务条款的行为，有向其上级有关部门举报、建议给予处理并要求告知处理结果的权利。</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bookmarkStart w:id="88" w:name="_Toc59896702"/>
      <w:bookmarkStart w:id="89" w:name="_Toc59900970"/>
      <w:r>
        <w:rPr>
          <w:rFonts w:hint="eastAsia" w:ascii="仿宋_GB2312" w:hAnsi="仿宋_GB2312" w:eastAsia="仿宋_GB2312" w:cs="仿宋_GB2312"/>
          <w:sz w:val="24"/>
          <w:highlight w:val="none"/>
        </w:rPr>
        <w:t>第三条 甲方的义务</w:t>
      </w:r>
      <w:bookmarkEnd w:id="88"/>
      <w:bookmarkEnd w:id="89"/>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（一）甲方及其工作人员不得索要或接受乙方的礼金、有价证券和贵重物品。</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（二）甲方及其工作人员不得在乙方报销任何应由甲方或个人支付的费用等。</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（三）甲方及其工作人员不得参加乙方安排的超标准宴请和娱乐活动。</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（四）甲方及其工作人员不得接受乙方提供的通讯工具、交通工具和高档办公用品等。</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（五）甲方及其工作人员不得要求或者接受乙方为其住房装修、婚丧嫁娶活动、配偶子女的工作安排以及出国出境、旅游等提供方便等。</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（六）甲方及其工作人员不得有违反法律、法规、廉洁从业规定的其他行为。</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bookmarkStart w:id="90" w:name="_Toc59900971"/>
      <w:bookmarkStart w:id="91" w:name="_Toc59896703"/>
      <w:r>
        <w:rPr>
          <w:rFonts w:hint="eastAsia" w:ascii="仿宋_GB2312" w:hAnsi="仿宋_GB2312" w:eastAsia="仿宋_GB2312" w:cs="仿宋_GB2312"/>
          <w:sz w:val="24"/>
          <w:highlight w:val="none"/>
        </w:rPr>
        <w:t>第四条 乙方义务</w:t>
      </w:r>
      <w:bookmarkEnd w:id="90"/>
      <w:bookmarkEnd w:id="91"/>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（一）乙方不得以任何理由向甲方及其工作人员行贿或馈赠礼金、有价证券、贵重物品。</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（三）乙方不得以任何理由安排甲方工作人员参加超标准宴请、健身及娱乐活动。</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（四）乙方不得为甲方及其工作人员购置或提供通讯工具、交通工具和高档办公用品等。</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（五）乙方不得为甲方及其工作人员住房装修、婚丧嫁娶活动、配偶子女的工作安排以及出国出境、旅游等提供方便等。</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（六）乙方不得有违反法律、法规、廉洁从业规定的其他行为。</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第五条 违约责任</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第七条 本协议有效期为甲乙双方签署之日起至主合同完全履行完毕之日止。</w:t>
      </w:r>
    </w:p>
    <w:p>
      <w:pPr>
        <w:keepNext w:val="0"/>
        <w:keepLines w:val="0"/>
        <w:pageBreakBefore w:val="0"/>
        <w:kinsoku/>
        <w:wordWrap/>
        <w:overflowPunct/>
        <w:topLinePunct w:val="0"/>
        <w:autoSpaceDE/>
        <w:autoSpaceDN/>
        <w:bidi w:val="0"/>
        <w:adjustRightInd w:val="0"/>
        <w:snapToGrid w:val="0"/>
        <w:spacing w:line="360" w:lineRule="auto"/>
        <w:ind w:left="0" w:leftChars="0"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第八条 本协议作为主合同的附件，与主合同具有同等的法律效力，经合同双方签署立即生效。</w:t>
      </w:r>
    </w:p>
    <w:p>
      <w:pPr>
        <w:keepNext w:val="0"/>
        <w:keepLines w:val="0"/>
        <w:pageBreakBefore w:val="0"/>
        <w:kinsoku/>
        <w:wordWrap/>
        <w:overflowPunct/>
        <w:topLinePunct w:val="0"/>
        <w:autoSpaceDE/>
        <w:autoSpaceDN/>
        <w:bidi w:val="0"/>
        <w:snapToGrid w:val="0"/>
        <w:spacing w:line="360" w:lineRule="auto"/>
        <w:ind w:left="0" w:leftChars="0"/>
        <w:textAlignment w:val="auto"/>
        <w:outlineLvl w:val="9"/>
        <w:rPr>
          <w:rFonts w:hint="eastAsia" w:ascii="仿宋_GB2312" w:hAnsi="仿宋_GB2312" w:eastAsia="仿宋_GB2312" w:cs="仿宋_GB2312"/>
          <w:sz w:val="24"/>
          <w:highlight w:val="none"/>
        </w:rPr>
        <w:sectPr>
          <w:footerReference r:id="rId10" w:type="default"/>
          <w:pgSz w:w="11906" w:h="16838"/>
          <w:pgMar w:top="1440" w:right="1800" w:bottom="1440" w:left="1800" w:header="851" w:footer="992" w:gutter="0"/>
          <w:pgNumType w:fmt="decimal"/>
          <w:cols w:space="720" w:num="1"/>
          <w:docGrid w:type="lines" w:linePitch="312" w:charSpace="0"/>
        </w:sectPr>
      </w:pPr>
    </w:p>
    <w:p>
      <w:pPr>
        <w:keepNext w:val="0"/>
        <w:keepLines w:val="0"/>
        <w:pageBreakBefore w:val="0"/>
        <w:kinsoku/>
        <w:wordWrap/>
        <w:overflowPunct/>
        <w:topLinePunct w:val="0"/>
        <w:autoSpaceDE/>
        <w:autoSpaceDN/>
        <w:bidi w:val="0"/>
        <w:spacing w:line="360" w:lineRule="auto"/>
        <w:ind w:left="0" w:leftChars="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pStyle w:val="16"/>
        <w:keepNext w:val="0"/>
        <w:keepLines w:val="0"/>
        <w:pageBreakBefore w:val="0"/>
        <w:kinsoku/>
        <w:wordWrap/>
        <w:overflowPunct/>
        <w:topLinePunct w:val="0"/>
        <w:autoSpaceDE/>
        <w:autoSpaceDN/>
        <w:bidi w:val="0"/>
        <w:spacing w:line="360" w:lineRule="auto"/>
        <w:ind w:left="0" w:leftChars="0"/>
        <w:textAlignment w:val="auto"/>
        <w:outlineLvl w:val="9"/>
        <w:rPr>
          <w:rFonts w:hint="eastAsia" w:ascii="仿宋_GB2312" w:hAnsi="仿宋_GB2312" w:eastAsia="仿宋_GB2312" w:cs="仿宋_GB2312"/>
          <w:highlight w:val="none"/>
        </w:rPr>
      </w:pPr>
    </w:p>
    <w:p>
      <w:pPr>
        <w:keepNext w:val="0"/>
        <w:keepLines w:val="0"/>
        <w:pageBreakBefore w:val="0"/>
        <w:kinsoku/>
        <w:wordWrap/>
        <w:overflowPunct/>
        <w:topLinePunct w:val="0"/>
        <w:autoSpaceDE/>
        <w:autoSpaceDN/>
        <w:bidi w:val="0"/>
        <w:spacing w:line="360" w:lineRule="auto"/>
        <w:ind w:left="0" w:leftChars="0"/>
        <w:textAlignment w:val="auto"/>
        <w:outlineLvl w:val="9"/>
        <w:rPr>
          <w:rFonts w:hint="eastAsia" w:ascii="仿宋_GB2312" w:hAnsi="仿宋_GB2312" w:eastAsia="仿宋_GB2312" w:cs="仿宋_GB2312"/>
          <w:highlight w:val="none"/>
        </w:rPr>
      </w:pPr>
    </w:p>
    <w:p>
      <w:pPr>
        <w:pStyle w:val="16"/>
        <w:keepNext w:val="0"/>
        <w:keepLines w:val="0"/>
        <w:pageBreakBefore w:val="0"/>
        <w:kinsoku/>
        <w:wordWrap/>
        <w:overflowPunct/>
        <w:topLinePunct w:val="0"/>
        <w:autoSpaceDE/>
        <w:autoSpaceDN/>
        <w:bidi w:val="0"/>
        <w:spacing w:line="360" w:lineRule="auto"/>
        <w:ind w:left="0" w:leftChars="0"/>
        <w:textAlignment w:val="auto"/>
        <w:outlineLvl w:val="9"/>
        <w:rPr>
          <w:rFonts w:hint="eastAsia" w:ascii="仿宋_GB2312" w:hAnsi="仿宋_GB2312" w:eastAsia="仿宋_GB2312" w:cs="仿宋_GB2312"/>
          <w:highlight w:val="none"/>
        </w:rPr>
      </w:pPr>
    </w:p>
    <w:p>
      <w:pPr>
        <w:keepNext w:val="0"/>
        <w:keepLines w:val="0"/>
        <w:pageBreakBefore w:val="0"/>
        <w:kinsoku/>
        <w:wordWrap/>
        <w:overflowPunct/>
        <w:topLinePunct w:val="0"/>
        <w:autoSpaceDE/>
        <w:autoSpaceDN/>
        <w:bidi w:val="0"/>
        <w:spacing w:line="360" w:lineRule="auto"/>
        <w:ind w:left="0" w:leftChars="0"/>
        <w:textAlignment w:val="auto"/>
        <w:outlineLvl w:val="9"/>
        <w:rPr>
          <w:rFonts w:hint="eastAsia" w:ascii="仿宋_GB2312" w:hAnsi="仿宋_GB2312" w:eastAsia="仿宋_GB2312" w:cs="仿宋_GB2312"/>
          <w:highlight w:val="none"/>
        </w:rPr>
      </w:pPr>
    </w:p>
    <w:p>
      <w:pPr>
        <w:keepNext w:val="0"/>
        <w:keepLines w:val="0"/>
        <w:pageBreakBefore w:val="0"/>
        <w:kinsoku/>
        <w:wordWrap/>
        <w:overflowPunct/>
        <w:topLinePunct w:val="0"/>
        <w:autoSpaceDE/>
        <w:autoSpaceDN/>
        <w:bidi w:val="0"/>
        <w:spacing w:line="360" w:lineRule="auto"/>
        <w:ind w:left="0" w:leftChars="0"/>
        <w:textAlignment w:val="auto"/>
        <w:outlineLvl w:val="9"/>
        <w:rPr>
          <w:rFonts w:hint="eastAsia" w:ascii="仿宋_GB2312" w:hAnsi="仿宋_GB2312" w:eastAsia="仿宋_GB2312" w:cs="仿宋_GB2312"/>
          <w:highlight w:val="none"/>
        </w:rPr>
      </w:pPr>
    </w:p>
    <w:p>
      <w:pPr>
        <w:keepNext w:val="0"/>
        <w:keepLines w:val="0"/>
        <w:pageBreakBefore w:val="0"/>
        <w:kinsoku/>
        <w:wordWrap/>
        <w:overflowPunct/>
        <w:topLinePunct w:val="0"/>
        <w:autoSpaceDE/>
        <w:autoSpaceDN/>
        <w:bidi w:val="0"/>
        <w:spacing w:line="360" w:lineRule="auto"/>
        <w:ind w:left="0" w:leftChars="0"/>
        <w:textAlignment w:val="auto"/>
        <w:outlineLvl w:val="9"/>
        <w:rPr>
          <w:rFonts w:hint="eastAsia" w:ascii="仿宋_GB2312" w:hAnsi="仿宋_GB2312" w:eastAsia="仿宋_GB2312" w:cs="仿宋_GB2312"/>
          <w:highlight w:val="none"/>
        </w:rPr>
      </w:pPr>
    </w:p>
    <w:p>
      <w:pPr>
        <w:keepNext w:val="0"/>
        <w:keepLines w:val="0"/>
        <w:pageBreakBefore w:val="0"/>
        <w:kinsoku/>
        <w:wordWrap/>
        <w:overflowPunct/>
        <w:topLinePunct w:val="0"/>
        <w:autoSpaceDE/>
        <w:autoSpaceDN/>
        <w:bidi w:val="0"/>
        <w:snapToGrid w:val="0"/>
        <w:spacing w:line="360" w:lineRule="auto"/>
        <w:ind w:left="0" w:leftChars="0"/>
        <w:textAlignment w:val="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（盖章）            </w:t>
      </w:r>
      <w:r>
        <w:rPr>
          <w:rFonts w:hint="eastAsia" w:ascii="仿宋_GB2312" w:hAnsi="仿宋_GB2312" w:eastAsia="仿宋_GB2312" w:cs="仿宋_GB2312"/>
          <w:sz w:val="24"/>
          <w:highlight w:val="none"/>
        </w:rPr>
        <w:t xml:space="preserve">             乙方：</w:t>
      </w:r>
      <w:r>
        <w:rPr>
          <w:rFonts w:hint="eastAsia" w:ascii="仿宋_GB2312" w:hAnsi="仿宋_GB2312" w:eastAsia="仿宋_GB2312" w:cs="仿宋_GB2312"/>
          <w:sz w:val="24"/>
          <w:highlight w:val="none"/>
          <w:u w:val="single"/>
        </w:rPr>
        <w:t xml:space="preserve"> （盖章）                 </w:t>
      </w:r>
    </w:p>
    <w:p>
      <w:pPr>
        <w:keepNext w:val="0"/>
        <w:keepLines w:val="0"/>
        <w:pageBreakBefore w:val="0"/>
        <w:kinsoku/>
        <w:wordWrap/>
        <w:overflowPunct/>
        <w:topLinePunct w:val="0"/>
        <w:autoSpaceDE/>
        <w:autoSpaceDN/>
        <w:bidi w:val="0"/>
        <w:snapToGrid w:val="0"/>
        <w:spacing w:line="360" w:lineRule="auto"/>
        <w:ind w:left="0" w:leftChars="0"/>
        <w:textAlignment w:val="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法定代表人：</w:t>
      </w:r>
      <w:r>
        <w:rPr>
          <w:rFonts w:hint="eastAsia" w:ascii="仿宋_GB2312" w:hAnsi="仿宋_GB2312" w:eastAsia="仿宋_GB2312" w:cs="仿宋_GB2312"/>
          <w:sz w:val="24"/>
          <w:highlight w:val="none"/>
          <w:u w:val="single"/>
        </w:rPr>
        <w:t xml:space="preserve"> （签字）           </w:t>
      </w:r>
    </w:p>
    <w:p>
      <w:pPr>
        <w:keepNext w:val="0"/>
        <w:keepLines w:val="0"/>
        <w:pageBreakBefore w:val="0"/>
        <w:kinsoku/>
        <w:wordWrap/>
        <w:overflowPunct/>
        <w:topLinePunct w:val="0"/>
        <w:autoSpaceDE/>
        <w:autoSpaceDN/>
        <w:bidi w:val="0"/>
        <w:snapToGrid w:val="0"/>
        <w:spacing w:line="360" w:lineRule="auto"/>
        <w:ind w:left="0" w:leftChars="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或授权代理人：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或授权代理人：</w:t>
      </w:r>
      <w:r>
        <w:rPr>
          <w:rFonts w:hint="eastAsia" w:ascii="仿宋_GB2312" w:hAnsi="仿宋_GB2312" w:eastAsia="仿宋_GB2312" w:cs="仿宋_GB2312"/>
          <w:sz w:val="24"/>
          <w:highlight w:val="none"/>
          <w:u w:val="single"/>
        </w:rPr>
        <w:t xml:space="preserve">（签字）           </w:t>
      </w:r>
    </w:p>
    <w:p>
      <w:pPr>
        <w:keepNext w:val="0"/>
        <w:keepLines w:val="0"/>
        <w:pageBreakBefore w:val="0"/>
        <w:kinsoku/>
        <w:wordWrap/>
        <w:overflowPunct/>
        <w:topLinePunct w:val="0"/>
        <w:autoSpaceDE/>
        <w:autoSpaceDN/>
        <w:bidi w:val="0"/>
        <w:snapToGrid w:val="0"/>
        <w:spacing w:line="360" w:lineRule="auto"/>
        <w:ind w:left="0" w:leftChars="0"/>
        <w:textAlignment w:val="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电话：</w:t>
      </w:r>
      <w:r>
        <w:rPr>
          <w:rFonts w:hint="eastAsia" w:ascii="仿宋_GB2312" w:hAnsi="仿宋_GB2312" w:eastAsia="仿宋_GB2312" w:cs="仿宋_GB2312"/>
          <w:sz w:val="24"/>
          <w:highlight w:val="none"/>
          <w:u w:val="single"/>
        </w:rPr>
        <w:t xml:space="preserve">                          </w:t>
      </w:r>
    </w:p>
    <w:p>
      <w:pPr>
        <w:keepNext w:val="0"/>
        <w:keepLines w:val="0"/>
        <w:pageBreakBefore w:val="0"/>
        <w:kinsoku/>
        <w:wordWrap/>
        <w:overflowPunct/>
        <w:topLinePunct w:val="0"/>
        <w:autoSpaceDE/>
        <w:autoSpaceDN/>
        <w:bidi w:val="0"/>
        <w:snapToGrid w:val="0"/>
        <w:spacing w:line="360" w:lineRule="auto"/>
        <w:ind w:left="0" w:leftChars="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日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keepNext w:val="0"/>
        <w:keepLines w:val="0"/>
        <w:pageBreakBefore w:val="0"/>
        <w:kinsoku/>
        <w:wordWrap/>
        <w:overflowPunct/>
        <w:topLinePunct w:val="0"/>
        <w:autoSpaceDE/>
        <w:autoSpaceDN/>
        <w:bidi w:val="0"/>
        <w:snapToGrid w:val="0"/>
        <w:spacing w:line="360" w:lineRule="auto"/>
        <w:ind w:left="0" w:leftChars="0"/>
        <w:textAlignment w:val="auto"/>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sz w:val="24"/>
          <w:highlight w:val="none"/>
        </w:rPr>
        <w:t>甲方监督单位：</w:t>
      </w:r>
      <w:r>
        <w:rPr>
          <w:rFonts w:hint="eastAsia" w:ascii="仿宋_GB2312" w:hAnsi="仿宋_GB2312" w:eastAsia="仿宋_GB2312" w:cs="仿宋_GB2312"/>
          <w:sz w:val="24"/>
          <w:highlight w:val="none"/>
          <w:u w:val="single"/>
        </w:rPr>
        <w:t xml:space="preserve">（盖章）      </w:t>
      </w:r>
      <w:r>
        <w:rPr>
          <w:rFonts w:hint="eastAsia" w:ascii="仿宋_GB2312" w:hAnsi="仿宋_GB2312" w:eastAsia="仿宋_GB2312" w:cs="仿宋_GB2312"/>
          <w:sz w:val="24"/>
          <w:highlight w:val="none"/>
        </w:rPr>
        <w:t xml:space="preserve">             乙方监督单位：</w:t>
      </w:r>
      <w:r>
        <w:rPr>
          <w:rFonts w:hint="eastAsia" w:ascii="仿宋_GB2312" w:hAnsi="仿宋_GB2312" w:eastAsia="仿宋_GB2312" w:cs="仿宋_GB2312"/>
          <w:sz w:val="24"/>
          <w:highlight w:val="none"/>
          <w:u w:val="single"/>
        </w:rPr>
        <w:t xml:space="preserve">（盖章）        </w:t>
      </w:r>
    </w:p>
    <w:p>
      <w:pPr>
        <w:keepNext w:val="0"/>
        <w:keepLines w:val="0"/>
        <w:pageBreakBefore w:val="0"/>
        <w:kinsoku/>
        <w:wordWrap/>
        <w:overflowPunct/>
        <w:topLinePunct w:val="0"/>
        <w:autoSpaceDE/>
        <w:autoSpaceDN/>
        <w:bidi w:val="0"/>
        <w:adjustRightInd w:val="0"/>
        <w:snapToGrid w:val="0"/>
        <w:spacing w:line="360" w:lineRule="auto"/>
        <w:ind w:left="0" w:leftChars="0"/>
        <w:jc w:val="left"/>
        <w:textAlignment w:val="auto"/>
        <w:outlineLvl w:val="9"/>
        <w:rPr>
          <w:rFonts w:hint="eastAsia" w:ascii="仿宋_GB2312" w:hAnsi="仿宋_GB2312" w:eastAsia="仿宋_GB2312" w:cs="仿宋_GB2312"/>
          <w:highlight w:val="none"/>
        </w:rPr>
      </w:pPr>
    </w:p>
    <w:p>
      <w:pPr>
        <w:keepNext w:val="0"/>
        <w:keepLines w:val="0"/>
        <w:pageBreakBefore w:val="0"/>
        <w:kinsoku/>
        <w:wordWrap/>
        <w:overflowPunct/>
        <w:topLinePunct w:val="0"/>
        <w:autoSpaceDE/>
        <w:autoSpaceDN/>
        <w:bidi w:val="0"/>
        <w:adjustRightInd w:val="0"/>
        <w:snapToGrid w:val="0"/>
        <w:spacing w:line="360" w:lineRule="auto"/>
        <w:ind w:left="0" w:leftChars="0"/>
        <w:jc w:val="left"/>
        <w:textAlignment w:val="auto"/>
        <w:outlineLvl w:val="9"/>
        <w:rPr>
          <w:rFonts w:hint="eastAsia" w:ascii="仿宋_GB2312" w:hAnsi="仿宋_GB2312" w:eastAsia="仿宋_GB2312" w:cs="仿宋_GB2312"/>
          <w:b/>
          <w:sz w:val="24"/>
          <w:highlight w:val="none"/>
        </w:rPr>
      </w:pPr>
    </w:p>
    <w:p>
      <w:pPr>
        <w:pStyle w:val="17"/>
        <w:keepNext w:val="0"/>
        <w:keepLines w:val="0"/>
        <w:pageBreakBefore w:val="0"/>
        <w:kinsoku/>
        <w:wordWrap/>
        <w:overflowPunct/>
        <w:topLinePunct w:val="0"/>
        <w:autoSpaceDE/>
        <w:autoSpaceDN/>
        <w:bidi w:val="0"/>
        <w:snapToGrid w:val="0"/>
        <w:spacing w:line="360" w:lineRule="auto"/>
        <w:ind w:left="0" w:leftChars="0" w:firstLine="0"/>
        <w:textAlignment w:val="auto"/>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附件2 保密协议</w:t>
      </w:r>
    </w:p>
    <w:p>
      <w:pPr>
        <w:keepNext w:val="0"/>
        <w:keepLines w:val="0"/>
        <w:pageBreakBefore w:val="0"/>
        <w:widowControl/>
        <w:kinsoku/>
        <w:wordWrap/>
        <w:overflowPunct/>
        <w:topLinePunct w:val="0"/>
        <w:autoSpaceDE/>
        <w:autoSpaceDN/>
        <w:bidi w:val="0"/>
        <w:snapToGrid w:val="0"/>
        <w:spacing w:line="360" w:lineRule="auto"/>
        <w:ind w:left="0" w:leftChars="0"/>
        <w:jc w:val="center"/>
        <w:textAlignment w:val="auto"/>
        <w:outlineLvl w:val="9"/>
        <w:rPr>
          <w:rFonts w:hint="eastAsia" w:ascii="仿宋_GB2312" w:hAnsi="仿宋_GB2312" w:eastAsia="仿宋_GB2312" w:cs="仿宋_GB2312"/>
          <w:highlight w:val="none"/>
          <w:lang w:bidi="en-US"/>
        </w:rPr>
      </w:pPr>
      <w:r>
        <w:rPr>
          <w:rFonts w:hint="eastAsia" w:ascii="仿宋_GB2312" w:hAnsi="仿宋_GB2312" w:eastAsia="仿宋_GB2312" w:cs="仿宋_GB2312"/>
          <w:b/>
          <w:bCs/>
          <w:smallCaps/>
          <w:highlight w:val="none"/>
          <w:lang w:bidi="en-US"/>
        </w:rPr>
        <w:t>保密协议</w:t>
      </w:r>
    </w:p>
    <w:p>
      <w:pPr>
        <w:keepNext w:val="0"/>
        <w:keepLines w:val="0"/>
        <w:pageBreakBefore w:val="0"/>
        <w:widowControl/>
        <w:kinsoku/>
        <w:wordWrap/>
        <w:overflowPunct/>
        <w:topLinePunct w:val="0"/>
        <w:autoSpaceDE/>
        <w:autoSpaceDN/>
        <w:bidi w:val="0"/>
        <w:snapToGrid w:val="0"/>
        <w:spacing w:line="360" w:lineRule="auto"/>
        <w:ind w:left="0" w:leftChars="0"/>
        <w:jc w:val="left"/>
        <w:textAlignment w:val="auto"/>
        <w:outlineLvl w:val="9"/>
        <w:rPr>
          <w:rFonts w:hint="eastAsia" w:ascii="仿宋_GB2312" w:hAnsi="仿宋_GB2312" w:eastAsia="仿宋_GB2312" w:cs="仿宋_GB2312"/>
          <w:sz w:val="24"/>
          <w:szCs w:val="24"/>
          <w:highlight w:val="none"/>
          <w:lang w:bidi="en-US"/>
        </w:rPr>
      </w:pPr>
    </w:p>
    <w:p>
      <w:pPr>
        <w:keepNext w:val="0"/>
        <w:keepLines w:val="0"/>
        <w:pageBreakBefore w:val="0"/>
        <w:widowControl/>
        <w:kinsoku/>
        <w:wordWrap/>
        <w:overflowPunct/>
        <w:topLinePunct w:val="0"/>
        <w:autoSpaceDE/>
        <w:autoSpaceDN/>
        <w:bidi w:val="0"/>
        <w:snapToGrid w:val="0"/>
        <w:spacing w:line="360" w:lineRule="auto"/>
        <w:ind w:left="0" w:leftChars="0"/>
        <w:jc w:val="left"/>
        <w:textAlignment w:val="auto"/>
        <w:outlineLvl w:val="9"/>
        <w:rPr>
          <w:rFonts w:hint="eastAsia" w:ascii="仿宋_GB2312" w:hAnsi="仿宋_GB2312" w:eastAsia="仿宋_GB2312" w:cs="仿宋_GB2312"/>
          <w:sz w:val="24"/>
          <w:szCs w:val="24"/>
          <w:highlight w:val="none"/>
          <w:u w:val="single"/>
          <w:lang w:bidi="en-US"/>
        </w:rPr>
      </w:pPr>
      <w:r>
        <w:rPr>
          <w:rFonts w:hint="eastAsia" w:ascii="仿宋_GB2312" w:hAnsi="仿宋_GB2312" w:eastAsia="仿宋_GB2312" w:cs="仿宋_GB2312"/>
          <w:sz w:val="24"/>
          <w:szCs w:val="24"/>
          <w:highlight w:val="none"/>
          <w:lang w:bidi="en-US"/>
        </w:rPr>
        <w:t>甲方（全称）：</w:t>
      </w:r>
      <w:r>
        <w:rPr>
          <w:rFonts w:hint="eastAsia" w:ascii="仿宋_GB2312" w:hAnsi="仿宋_GB2312" w:eastAsia="仿宋_GB2312" w:cs="仿宋_GB2312"/>
          <w:sz w:val="24"/>
          <w:szCs w:val="24"/>
          <w:highlight w:val="none"/>
          <w:u w:val="single"/>
          <w:lang w:bidi="en-US"/>
        </w:rPr>
        <w:t>长沙市轨道交通运营有限公司</w:t>
      </w:r>
    </w:p>
    <w:p>
      <w:pPr>
        <w:keepNext w:val="0"/>
        <w:keepLines w:val="0"/>
        <w:pageBreakBefore w:val="0"/>
        <w:widowControl/>
        <w:kinsoku/>
        <w:wordWrap/>
        <w:overflowPunct/>
        <w:topLinePunct w:val="0"/>
        <w:autoSpaceDE/>
        <w:autoSpaceDN/>
        <w:bidi w:val="0"/>
        <w:snapToGrid w:val="0"/>
        <w:spacing w:line="360" w:lineRule="auto"/>
        <w:ind w:left="0" w:leftChars="0"/>
        <w:jc w:val="left"/>
        <w:textAlignment w:val="auto"/>
        <w:outlineLvl w:val="9"/>
        <w:rPr>
          <w:rFonts w:hint="eastAsia" w:ascii="仿宋_GB2312" w:hAnsi="仿宋_GB2312" w:eastAsia="仿宋_GB2312" w:cs="仿宋_GB2312"/>
          <w:sz w:val="24"/>
          <w:szCs w:val="24"/>
          <w:highlight w:val="none"/>
          <w:u w:val="single"/>
          <w:lang w:bidi="en-US"/>
        </w:rPr>
      </w:pPr>
      <w:r>
        <w:rPr>
          <w:rFonts w:hint="eastAsia" w:ascii="仿宋_GB2312" w:hAnsi="仿宋_GB2312" w:eastAsia="仿宋_GB2312" w:cs="仿宋_GB2312"/>
          <w:sz w:val="24"/>
          <w:szCs w:val="24"/>
          <w:highlight w:val="none"/>
          <w:u w:val="single"/>
          <w:lang w:bidi="en-US"/>
        </w:rPr>
        <w:t>长沙市轨道交通四号线建设发展有限公司</w:t>
      </w:r>
    </w:p>
    <w:p>
      <w:pPr>
        <w:keepNext w:val="0"/>
        <w:keepLines w:val="0"/>
        <w:pageBreakBefore w:val="0"/>
        <w:widowControl/>
        <w:kinsoku/>
        <w:wordWrap/>
        <w:overflowPunct/>
        <w:topLinePunct w:val="0"/>
        <w:autoSpaceDE/>
        <w:autoSpaceDN/>
        <w:bidi w:val="0"/>
        <w:snapToGrid w:val="0"/>
        <w:spacing w:line="360" w:lineRule="auto"/>
        <w:ind w:left="0" w:leftChars="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乙方（全称）：</w:t>
      </w:r>
      <w:r>
        <w:rPr>
          <w:rFonts w:hint="eastAsia" w:ascii="仿宋_GB2312" w:hAnsi="仿宋_GB2312" w:eastAsia="仿宋_GB2312" w:cs="仿宋_GB2312"/>
          <w:sz w:val="24"/>
          <w:szCs w:val="24"/>
          <w:highlight w:val="none"/>
          <w:u w:val="single"/>
          <w:lang w:bidi="en-US"/>
        </w:rPr>
        <w:t xml:space="preserve">                        </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鉴于甲方和乙方签订的</w:t>
      </w:r>
      <w:r>
        <w:rPr>
          <w:rFonts w:hint="eastAsia" w:ascii="仿宋_GB2312" w:hAnsi="仿宋_GB2312" w:eastAsia="仿宋_GB2312" w:cs="仿宋_GB2312"/>
          <w:sz w:val="24"/>
          <w:szCs w:val="24"/>
          <w:highlight w:val="none"/>
          <w:u w:val="single"/>
          <w:lang w:bidi="en-US"/>
        </w:rPr>
        <w:t>长沙市轨道交通2号线电客车首轮大修、4号线电客车首轮架修概算编制咨询服务项目</w:t>
      </w:r>
      <w:r>
        <w:rPr>
          <w:rFonts w:hint="eastAsia" w:ascii="仿宋_GB2312" w:hAnsi="仿宋_GB2312" w:eastAsia="仿宋_GB2312" w:cs="仿宋_GB2312"/>
          <w:sz w:val="24"/>
          <w:szCs w:val="24"/>
          <w:highlight w:val="none"/>
          <w:lang w:bidi="en-US"/>
        </w:rPr>
        <w:t>合同（以下简称主合同）在执行过程中，甲方需要向乙方提供相关资料、披露有关信息。为进一步明确乙方的保密义务，甲、乙双方特签订以下本协议。</w:t>
      </w:r>
    </w:p>
    <w:p>
      <w:pPr>
        <w:keepNext w:val="0"/>
        <w:keepLines w:val="0"/>
        <w:pageBreakBefore w:val="0"/>
        <w:widowControl/>
        <w:kinsoku/>
        <w:wordWrap/>
        <w:overflowPunct/>
        <w:topLinePunct w:val="0"/>
        <w:autoSpaceDE/>
        <w:autoSpaceDN/>
        <w:bidi w:val="0"/>
        <w:snapToGrid w:val="0"/>
        <w:spacing w:line="360" w:lineRule="auto"/>
        <w:ind w:left="0" w:leftChars="0" w:firstLine="482" w:firstLineChars="200"/>
        <w:jc w:val="left"/>
        <w:textAlignment w:val="auto"/>
        <w:outlineLvl w:val="9"/>
        <w:rPr>
          <w:rFonts w:hint="eastAsia" w:ascii="仿宋_GB2312" w:hAnsi="仿宋_GB2312" w:eastAsia="仿宋_GB2312" w:cs="仿宋_GB2312"/>
          <w:b/>
          <w:sz w:val="24"/>
          <w:szCs w:val="24"/>
          <w:highlight w:val="none"/>
          <w:lang w:bidi="en-US"/>
        </w:rPr>
      </w:pPr>
      <w:r>
        <w:rPr>
          <w:rFonts w:hint="eastAsia" w:ascii="仿宋_GB2312" w:hAnsi="仿宋_GB2312" w:eastAsia="仿宋_GB2312" w:cs="仿宋_GB2312"/>
          <w:b/>
          <w:sz w:val="24"/>
          <w:szCs w:val="24"/>
          <w:highlight w:val="none"/>
          <w:lang w:bidi="en-US"/>
        </w:rPr>
        <w:t>第一条 保密内容</w:t>
      </w:r>
    </w:p>
    <w:p>
      <w:pPr>
        <w:keepNext w:val="0"/>
        <w:keepLines w:val="0"/>
        <w:pageBreakBefore w:val="0"/>
        <w:widowControl/>
        <w:kinsoku/>
        <w:wordWrap/>
        <w:overflowPunct/>
        <w:topLinePunct w:val="0"/>
        <w:autoSpaceDE/>
        <w:autoSpaceDN/>
        <w:bidi w:val="0"/>
        <w:snapToGrid w:val="0"/>
        <w:spacing w:line="360" w:lineRule="auto"/>
        <w:ind w:left="0" w:leftChars="0" w:firstLine="482" w:firstLineChars="200"/>
        <w:jc w:val="left"/>
        <w:textAlignment w:val="auto"/>
        <w:outlineLvl w:val="9"/>
        <w:rPr>
          <w:rFonts w:hint="eastAsia" w:ascii="仿宋_GB2312" w:hAnsi="仿宋_GB2312" w:eastAsia="仿宋_GB2312" w:cs="仿宋_GB2312"/>
          <w:b/>
          <w:sz w:val="24"/>
          <w:szCs w:val="24"/>
          <w:highlight w:val="none"/>
          <w:lang w:bidi="en-US"/>
        </w:rPr>
      </w:pPr>
      <w:r>
        <w:rPr>
          <w:rFonts w:hint="eastAsia" w:ascii="仿宋_GB2312" w:hAnsi="仿宋_GB2312" w:eastAsia="仿宋_GB2312" w:cs="仿宋_GB2312"/>
          <w:b/>
          <w:sz w:val="24"/>
          <w:szCs w:val="24"/>
          <w:highlight w:val="none"/>
          <w:lang w:bidi="en-US"/>
        </w:rPr>
        <w:t>甲、乙双方确认，乙方应承担保密义务的内容为：</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1、技术信息：包括技术方案、设计要求、工作内容、实现方法、运作流程、技术指标、软件系统、数据库、运行环境、作业平台、测试结果、图纸、样本、模型、技术文档、涉及技术秘密的业务函电等； </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2、经营信息：包括客户名称、客户地址及联系方式、需求信息、营销计划、定价政策、招投标中的标底及标书内容、项目组人员构成、费用预算、利润情况及不公开的财务资料等；</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3、其他事项：甲方依照法律规定和有关协议（包括与项目对方当事人以及其他项目当事人订立协议、合同）的约定要求乙方承担保密义务的其他事项。</w:t>
      </w:r>
    </w:p>
    <w:p>
      <w:pPr>
        <w:keepNext w:val="0"/>
        <w:keepLines w:val="0"/>
        <w:pageBreakBefore w:val="0"/>
        <w:widowControl/>
        <w:kinsoku/>
        <w:wordWrap/>
        <w:overflowPunct/>
        <w:topLinePunct w:val="0"/>
        <w:autoSpaceDE/>
        <w:autoSpaceDN/>
        <w:bidi w:val="0"/>
        <w:snapToGrid w:val="0"/>
        <w:spacing w:line="360" w:lineRule="auto"/>
        <w:ind w:left="0" w:leftChars="0" w:firstLine="482" w:firstLineChars="200"/>
        <w:jc w:val="left"/>
        <w:textAlignment w:val="auto"/>
        <w:outlineLvl w:val="9"/>
        <w:rPr>
          <w:rFonts w:hint="eastAsia" w:ascii="仿宋_GB2312" w:hAnsi="仿宋_GB2312" w:eastAsia="仿宋_GB2312" w:cs="仿宋_GB2312"/>
          <w:b/>
          <w:sz w:val="24"/>
          <w:szCs w:val="24"/>
          <w:highlight w:val="none"/>
          <w:lang w:bidi="en-US"/>
        </w:rPr>
      </w:pPr>
      <w:r>
        <w:rPr>
          <w:rFonts w:hint="eastAsia" w:ascii="仿宋_GB2312" w:hAnsi="仿宋_GB2312" w:eastAsia="仿宋_GB2312" w:cs="仿宋_GB2312"/>
          <w:b/>
          <w:sz w:val="24"/>
          <w:szCs w:val="24"/>
          <w:highlight w:val="none"/>
          <w:lang w:bidi="en-US"/>
        </w:rPr>
        <w:t>第二条 乙方的保密义务</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1、乙方应主动采取加密措施对上述第一条所列内容进行保密，防止不承担同等保密义务的任何第三者知悉及使用。</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2、乙方不得刺探或者以其他不正当手段（包括利用计算机进行检索、浏览、复制等）获取主合同及主合同执行过程中的甲方秘密。</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3、乙方不得向不承担同等保密义务的任何第三人披露上述第一条所列内容。</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4、乙方不得允许（包括出借、赠与、出租、转让等行为）或协助不承担同等保密义务的任何第三人使用上述第一条所列内容。</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5、不论因何种原因主合同终止后，乙方都不得利用上述第一条所列内容为其他与甲方有竞争关系的第三人提供服务或进行合作。</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7、乙方如发现上述第一条所列内容被泄露或者自己过失泄露秘密，应当采取有效措施防止泄密进一步扩大，并及时向甲方报告。</w:t>
      </w:r>
    </w:p>
    <w:p>
      <w:pPr>
        <w:keepNext w:val="0"/>
        <w:keepLines w:val="0"/>
        <w:pageBreakBefore w:val="0"/>
        <w:widowControl/>
        <w:kinsoku/>
        <w:wordWrap/>
        <w:overflowPunct/>
        <w:topLinePunct w:val="0"/>
        <w:autoSpaceDE/>
        <w:autoSpaceDN/>
        <w:bidi w:val="0"/>
        <w:snapToGrid w:val="0"/>
        <w:spacing w:line="360" w:lineRule="auto"/>
        <w:ind w:left="0" w:leftChars="0" w:firstLine="482" w:firstLineChars="200"/>
        <w:jc w:val="left"/>
        <w:textAlignment w:val="auto"/>
        <w:outlineLvl w:val="9"/>
        <w:rPr>
          <w:rFonts w:hint="eastAsia" w:ascii="仿宋_GB2312" w:hAnsi="仿宋_GB2312" w:eastAsia="仿宋_GB2312" w:cs="仿宋_GB2312"/>
          <w:b/>
          <w:sz w:val="24"/>
          <w:szCs w:val="24"/>
          <w:highlight w:val="none"/>
          <w:lang w:bidi="en-US"/>
        </w:rPr>
      </w:pPr>
      <w:r>
        <w:rPr>
          <w:rFonts w:hint="eastAsia" w:ascii="仿宋_GB2312" w:hAnsi="仿宋_GB2312" w:eastAsia="仿宋_GB2312" w:cs="仿宋_GB2312"/>
          <w:b/>
          <w:sz w:val="24"/>
          <w:szCs w:val="24"/>
          <w:highlight w:val="none"/>
          <w:lang w:bidi="en-US"/>
        </w:rPr>
        <w:t>第三条 保密期限</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b/>
          <w:sz w:val="24"/>
          <w:szCs w:val="24"/>
          <w:highlight w:val="none"/>
          <w:lang w:bidi="en-US"/>
        </w:rPr>
      </w:pPr>
      <w:r>
        <w:rPr>
          <w:rFonts w:hint="eastAsia" w:ascii="仿宋_GB2312" w:hAnsi="仿宋_GB2312" w:eastAsia="仿宋_GB2312" w:cs="仿宋_GB2312"/>
          <w:sz w:val="24"/>
          <w:szCs w:val="24"/>
          <w:highlight w:val="none"/>
          <w:lang w:bidi="en-US"/>
        </w:rPr>
        <w:t>甲、乙双方确认，乙方的保密义务自本协议签订时开始，到甲方将上述第一条所列内容公开时止。乙方是否继续履行主合同，均不影响保密义务的承担。</w:t>
      </w:r>
    </w:p>
    <w:p>
      <w:pPr>
        <w:keepNext w:val="0"/>
        <w:keepLines w:val="0"/>
        <w:pageBreakBefore w:val="0"/>
        <w:widowControl/>
        <w:kinsoku/>
        <w:wordWrap/>
        <w:overflowPunct/>
        <w:topLinePunct w:val="0"/>
        <w:autoSpaceDE/>
        <w:autoSpaceDN/>
        <w:bidi w:val="0"/>
        <w:snapToGrid w:val="0"/>
        <w:spacing w:line="360" w:lineRule="auto"/>
        <w:ind w:left="0" w:leftChars="0" w:firstLine="482" w:firstLineChars="200"/>
        <w:jc w:val="left"/>
        <w:textAlignment w:val="auto"/>
        <w:outlineLvl w:val="9"/>
        <w:rPr>
          <w:rFonts w:hint="eastAsia" w:ascii="仿宋_GB2312" w:hAnsi="仿宋_GB2312" w:eastAsia="仿宋_GB2312" w:cs="仿宋_GB2312"/>
          <w:b/>
          <w:sz w:val="24"/>
          <w:szCs w:val="24"/>
          <w:highlight w:val="none"/>
          <w:lang w:bidi="en-US"/>
        </w:rPr>
      </w:pPr>
      <w:r>
        <w:rPr>
          <w:rFonts w:hint="eastAsia" w:ascii="仿宋_GB2312" w:hAnsi="仿宋_GB2312" w:eastAsia="仿宋_GB2312" w:cs="仿宋_GB2312"/>
          <w:b/>
          <w:sz w:val="24"/>
          <w:szCs w:val="24"/>
          <w:highlight w:val="none"/>
          <w:lang w:bidi="en-US"/>
        </w:rPr>
        <w:t>第四条 违约责任</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sz w:val="24"/>
          <w:szCs w:val="24"/>
          <w:highlight w:val="none"/>
          <w:lang w:bidi="en-US"/>
        </w:rPr>
        <w:t>人民币</w:t>
      </w:r>
      <w:r>
        <w:rPr>
          <w:rFonts w:hint="eastAsia" w:ascii="仿宋_GB2312" w:hAnsi="仿宋_GB2312" w:eastAsia="仿宋_GB2312" w:cs="仿宋_GB2312"/>
          <w:b/>
          <w:sz w:val="24"/>
          <w:szCs w:val="24"/>
          <w:highlight w:val="none"/>
          <w:u w:val="single"/>
          <w:lang w:bidi="en-US"/>
        </w:rPr>
        <w:t>1000</w:t>
      </w:r>
      <w:r>
        <w:rPr>
          <w:rFonts w:hint="eastAsia" w:ascii="仿宋_GB2312" w:hAnsi="仿宋_GB2312" w:eastAsia="仿宋_GB2312" w:cs="仿宋_GB2312"/>
          <w:b/>
          <w:sz w:val="24"/>
          <w:szCs w:val="24"/>
          <w:highlight w:val="none"/>
          <w:lang w:bidi="en-US"/>
        </w:rPr>
        <w:t>元</w:t>
      </w:r>
      <w:r>
        <w:rPr>
          <w:rFonts w:hint="eastAsia" w:ascii="仿宋_GB2312" w:hAnsi="仿宋_GB2312" w:eastAsia="仿宋_GB2312" w:cs="仿宋_GB2312"/>
          <w:sz w:val="24"/>
          <w:szCs w:val="24"/>
          <w:highlight w:val="none"/>
          <w:lang w:bidi="en-US"/>
        </w:rPr>
        <w:t>的违约金。</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2、因乙方未履行本协议第二条规定的保密义务，给甲方造成损失或严重后果的，每发生一次，乙方应承担以下赔偿责任：</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（1）甲方调查乙方的违反协议行为而发生的所有费用；</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（2）因乙方的违反协议行为给甲方造成的经济损失，损失赔偿金额为</w:t>
      </w:r>
      <w:r>
        <w:rPr>
          <w:rFonts w:hint="eastAsia" w:ascii="仿宋_GB2312" w:hAnsi="仿宋_GB2312" w:eastAsia="仿宋_GB2312" w:cs="仿宋_GB2312"/>
          <w:b/>
          <w:sz w:val="24"/>
          <w:szCs w:val="24"/>
          <w:highlight w:val="none"/>
          <w:lang w:bidi="en-US"/>
        </w:rPr>
        <w:t>主合同签约酬金的</w:t>
      </w:r>
      <w:r>
        <w:rPr>
          <w:rFonts w:hint="eastAsia" w:ascii="仿宋_GB2312" w:hAnsi="仿宋_GB2312" w:eastAsia="仿宋_GB2312" w:cs="仿宋_GB2312"/>
          <w:b/>
          <w:sz w:val="24"/>
          <w:szCs w:val="24"/>
          <w:highlight w:val="none"/>
          <w:u w:val="single"/>
          <w:lang w:bidi="en-US"/>
        </w:rPr>
        <w:t>1</w:t>
      </w:r>
      <w:r>
        <w:rPr>
          <w:rFonts w:hint="eastAsia" w:ascii="仿宋_GB2312" w:hAnsi="仿宋_GB2312" w:eastAsia="仿宋_GB2312" w:cs="仿宋_GB2312"/>
          <w:b/>
          <w:sz w:val="24"/>
          <w:szCs w:val="24"/>
          <w:highlight w:val="none"/>
          <w:lang w:bidi="en-US"/>
        </w:rPr>
        <w:t>％</w:t>
      </w:r>
      <w:r>
        <w:rPr>
          <w:rFonts w:hint="eastAsia" w:ascii="仿宋_GB2312" w:hAnsi="仿宋_GB2312" w:eastAsia="仿宋_GB2312" w:cs="仿宋_GB2312"/>
          <w:sz w:val="24"/>
          <w:szCs w:val="24"/>
          <w:highlight w:val="none"/>
          <w:lang w:bidi="en-US"/>
        </w:rPr>
        <w:t>（有证据证明甲方实际损失超过这一金额的，以甲方实际损失为准）。</w:t>
      </w:r>
    </w:p>
    <w:p>
      <w:pPr>
        <w:keepNext w:val="0"/>
        <w:keepLines w:val="0"/>
        <w:pageBreakBefore w:val="0"/>
        <w:widowControl/>
        <w:kinsoku/>
        <w:wordWrap/>
        <w:overflowPunct/>
        <w:topLinePunct w:val="0"/>
        <w:autoSpaceDE/>
        <w:autoSpaceDN/>
        <w:bidi w:val="0"/>
        <w:snapToGrid w:val="0"/>
        <w:spacing w:line="360" w:lineRule="auto"/>
        <w:ind w:left="0" w:leftChars="0" w:firstLine="482" w:firstLineChars="200"/>
        <w:jc w:val="left"/>
        <w:textAlignment w:val="auto"/>
        <w:outlineLvl w:val="9"/>
        <w:rPr>
          <w:rFonts w:hint="eastAsia" w:ascii="仿宋_GB2312" w:hAnsi="仿宋_GB2312" w:eastAsia="仿宋_GB2312" w:cs="仿宋_GB2312"/>
          <w:b/>
          <w:sz w:val="24"/>
          <w:szCs w:val="24"/>
          <w:highlight w:val="none"/>
          <w:lang w:bidi="en-US"/>
        </w:rPr>
      </w:pPr>
      <w:r>
        <w:rPr>
          <w:rFonts w:hint="eastAsia" w:ascii="仿宋_GB2312" w:hAnsi="仿宋_GB2312" w:eastAsia="仿宋_GB2312" w:cs="仿宋_GB2312"/>
          <w:b/>
          <w:sz w:val="24"/>
          <w:szCs w:val="24"/>
          <w:highlight w:val="none"/>
          <w:lang w:bidi="en-US"/>
        </w:rPr>
        <w:t>第五条 争议的解决</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因执行本协议而发生的纠纷，可由双方协商解决；协商不成的，任何一方有权向</w:t>
      </w:r>
      <w:r>
        <w:rPr>
          <w:rFonts w:hint="eastAsia" w:ascii="仿宋_GB2312" w:hAnsi="仿宋_GB2312" w:eastAsia="仿宋_GB2312" w:cs="仿宋_GB2312"/>
          <w:sz w:val="24"/>
          <w:szCs w:val="24"/>
          <w:highlight w:val="none"/>
          <w:u w:val="single"/>
          <w:lang w:bidi="en-US"/>
        </w:rPr>
        <w:t>甲方所在地人民法院</w:t>
      </w:r>
      <w:r>
        <w:rPr>
          <w:rFonts w:hint="eastAsia" w:ascii="仿宋_GB2312" w:hAnsi="仿宋_GB2312" w:eastAsia="仿宋_GB2312" w:cs="仿宋_GB2312"/>
          <w:sz w:val="24"/>
          <w:szCs w:val="24"/>
          <w:highlight w:val="none"/>
          <w:lang w:bidi="en-US"/>
        </w:rPr>
        <w:t>提起诉讼。</w:t>
      </w:r>
    </w:p>
    <w:p>
      <w:pPr>
        <w:keepNext w:val="0"/>
        <w:keepLines w:val="0"/>
        <w:pageBreakBefore w:val="0"/>
        <w:widowControl/>
        <w:kinsoku/>
        <w:wordWrap/>
        <w:overflowPunct/>
        <w:topLinePunct w:val="0"/>
        <w:autoSpaceDE/>
        <w:autoSpaceDN/>
        <w:bidi w:val="0"/>
        <w:snapToGrid w:val="0"/>
        <w:spacing w:line="360" w:lineRule="auto"/>
        <w:ind w:left="0" w:leftChars="0" w:firstLine="482" w:firstLineChars="200"/>
        <w:jc w:val="left"/>
        <w:textAlignment w:val="auto"/>
        <w:outlineLvl w:val="9"/>
        <w:rPr>
          <w:rFonts w:hint="eastAsia" w:ascii="仿宋_GB2312" w:hAnsi="仿宋_GB2312" w:eastAsia="仿宋_GB2312" w:cs="仿宋_GB2312"/>
          <w:b/>
          <w:sz w:val="24"/>
          <w:szCs w:val="24"/>
          <w:highlight w:val="none"/>
          <w:lang w:bidi="en-US"/>
        </w:rPr>
      </w:pPr>
      <w:r>
        <w:rPr>
          <w:rFonts w:hint="eastAsia" w:ascii="仿宋_GB2312" w:hAnsi="仿宋_GB2312" w:eastAsia="仿宋_GB2312" w:cs="仿宋_GB2312"/>
          <w:b/>
          <w:sz w:val="24"/>
          <w:szCs w:val="24"/>
          <w:highlight w:val="none"/>
          <w:lang w:bidi="en-US"/>
        </w:rPr>
        <w:t>第六条 协议的效力和变更</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1、本协议自双方法定代表人或其授权代表签字并加盖公章后生效。</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t>2、任何对本协议所作的任何增补和修改，除非由双方合法指派的代表书面做出，否则视为无效或对双方均无约束力。</w:t>
      </w:r>
    </w:p>
    <w:p>
      <w:pPr>
        <w:keepNext w:val="0"/>
        <w:keepLines w:val="0"/>
        <w:pageBreakBefore w:val="0"/>
        <w:widowControl/>
        <w:kinsoku/>
        <w:wordWrap/>
        <w:overflowPunct/>
        <w:topLinePunct w:val="0"/>
        <w:autoSpaceDE/>
        <w:autoSpaceDN/>
        <w:bidi w:val="0"/>
        <w:snapToGrid w:val="0"/>
        <w:spacing w:line="360" w:lineRule="auto"/>
        <w:ind w:left="0" w:leftChars="0"/>
        <w:jc w:val="left"/>
        <w:textAlignment w:val="auto"/>
        <w:outlineLvl w:val="9"/>
        <w:rPr>
          <w:rFonts w:hint="eastAsia" w:ascii="仿宋_GB2312" w:hAnsi="仿宋_GB2312" w:eastAsia="仿宋_GB2312" w:cs="仿宋_GB2312"/>
          <w:sz w:val="24"/>
          <w:szCs w:val="24"/>
          <w:highlight w:val="none"/>
          <w:lang w:bidi="en-US"/>
        </w:rPr>
      </w:pPr>
      <w:r>
        <w:rPr>
          <w:rFonts w:hint="eastAsia" w:ascii="仿宋_GB2312" w:hAnsi="仿宋_GB2312" w:eastAsia="仿宋_GB2312" w:cs="仿宋_GB2312"/>
          <w:sz w:val="24"/>
          <w:szCs w:val="24"/>
          <w:highlight w:val="none"/>
          <w:lang w:bidi="en-US"/>
        </w:rPr>
        <w:br w:type="page"/>
      </w:r>
      <w:r>
        <w:rPr>
          <w:rFonts w:hint="eastAsia" w:ascii="仿宋_GB2312" w:hAnsi="仿宋_GB2312" w:eastAsia="仿宋_GB2312" w:cs="仿宋_GB2312"/>
          <w:sz w:val="24"/>
          <w:szCs w:val="24"/>
          <w:highlight w:val="none"/>
          <w:lang w:bidi="en-US"/>
        </w:rPr>
        <w:t>（本页无正文）</w:t>
      </w:r>
    </w:p>
    <w:p>
      <w:pPr>
        <w:keepNext w:val="0"/>
        <w:keepLines w:val="0"/>
        <w:pageBreakBefore w:val="0"/>
        <w:widowControl/>
        <w:kinsoku/>
        <w:wordWrap/>
        <w:overflowPunct/>
        <w:topLinePunct w:val="0"/>
        <w:autoSpaceDE/>
        <w:autoSpaceDN/>
        <w:bidi w:val="0"/>
        <w:snapToGrid w:val="0"/>
        <w:spacing w:line="360" w:lineRule="auto"/>
        <w:ind w:left="0" w:leftChars="0" w:firstLine="480" w:firstLineChars="200"/>
        <w:jc w:val="left"/>
        <w:textAlignment w:val="auto"/>
        <w:outlineLvl w:val="9"/>
        <w:rPr>
          <w:rFonts w:hint="eastAsia" w:ascii="仿宋_GB2312" w:hAnsi="仿宋_GB2312" w:eastAsia="仿宋_GB2312" w:cs="仿宋_GB2312"/>
          <w:sz w:val="24"/>
          <w:szCs w:val="24"/>
          <w:highlight w:val="none"/>
          <w:lang w:bidi="en-US"/>
        </w:rPr>
      </w:pPr>
    </w:p>
    <w:p>
      <w:pPr>
        <w:keepNext w:val="0"/>
        <w:keepLines w:val="0"/>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sz w:val="24"/>
          <w:szCs w:val="24"/>
          <w:highlight w:val="none"/>
          <w:lang w:bidi="en-US"/>
        </w:rPr>
      </w:pPr>
    </w:p>
    <w:p>
      <w:pPr>
        <w:keepNext w:val="0"/>
        <w:keepLines w:val="0"/>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sz w:val="24"/>
          <w:szCs w:val="24"/>
          <w:highlight w:val="none"/>
          <w:lang w:bidi="en-US"/>
        </w:rPr>
      </w:pPr>
    </w:p>
    <w:tbl>
      <w:tblPr>
        <w:tblStyle w:val="47"/>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keepNext w:val="0"/>
              <w:keepLines w:val="0"/>
              <w:kinsoku/>
              <w:wordWrap/>
              <w:overflowPunct/>
              <w:topLinePunct w:val="0"/>
              <w:autoSpaceDE/>
              <w:autoSpaceDN/>
              <w:bidi w:val="0"/>
              <w:adjustRightInd w:val="0"/>
              <w:snapToGrid w:val="0"/>
              <w:spacing w:line="360" w:lineRule="auto"/>
              <w:textAlignment w:val="baseline"/>
              <w:outlineLvl w:val="9"/>
              <w:rPr>
                <w:rFonts w:hint="eastAsia" w:ascii="仿宋_GB2312" w:hAnsi="仿宋_GB2312" w:eastAsia="仿宋_GB2312" w:cs="仿宋_GB2312"/>
                <w:sz w:val="24"/>
                <w:szCs w:val="24"/>
                <w:highlight w:val="none"/>
              </w:rPr>
            </w:pPr>
            <w:bookmarkStart w:id="92" w:name="3"/>
            <w:bookmarkEnd w:id="92"/>
            <w:r>
              <w:rPr>
                <w:rFonts w:hint="eastAsia" w:ascii="仿宋_GB2312" w:hAnsi="仿宋_GB2312" w:eastAsia="仿宋_GB2312" w:cs="仿宋_GB2312"/>
                <w:sz w:val="24"/>
                <w:szCs w:val="24"/>
                <w:highlight w:val="none"/>
              </w:rPr>
              <w:t>甲方：(盖章)</w:t>
            </w:r>
          </w:p>
        </w:tc>
        <w:tc>
          <w:tcPr>
            <w:tcW w:w="4252" w:type="dxa"/>
            <w:noWrap w:val="0"/>
            <w:vAlign w:val="top"/>
          </w:tcPr>
          <w:p>
            <w:pPr>
              <w:keepNext w:val="0"/>
              <w:keepLines w:val="0"/>
              <w:kinsoku/>
              <w:wordWrap/>
              <w:overflowPunct/>
              <w:topLinePunct w:val="0"/>
              <w:autoSpaceDE/>
              <w:autoSpaceDN/>
              <w:bidi w:val="0"/>
              <w:adjustRightInd w:val="0"/>
              <w:snapToGrid w:val="0"/>
              <w:spacing w:line="360" w:lineRule="auto"/>
              <w:textAlignment w:val="baseline"/>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keepNext w:val="0"/>
              <w:keepLines w:val="0"/>
              <w:kinsoku/>
              <w:wordWrap/>
              <w:overflowPunct/>
              <w:topLinePunct w:val="0"/>
              <w:autoSpaceDE/>
              <w:autoSpaceDN/>
              <w:bidi w:val="0"/>
              <w:adjustRightInd w:val="0"/>
              <w:snapToGrid w:val="0"/>
              <w:spacing w:line="360" w:lineRule="auto"/>
              <w:ind w:left="19" w:leftChars="9"/>
              <w:textAlignment w:val="baseline"/>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法定代表人或其授权代表：（签字）</w:t>
            </w:r>
          </w:p>
          <w:p>
            <w:pPr>
              <w:keepNext w:val="0"/>
              <w:keepLines w:val="0"/>
              <w:kinsoku/>
              <w:wordWrap/>
              <w:overflowPunct/>
              <w:topLinePunct w:val="0"/>
              <w:autoSpaceDE/>
              <w:autoSpaceDN/>
              <w:bidi w:val="0"/>
              <w:adjustRightInd w:val="0"/>
              <w:snapToGrid w:val="0"/>
              <w:spacing w:line="360" w:lineRule="auto"/>
              <w:ind w:left="19" w:leftChars="9"/>
              <w:textAlignment w:val="baseline"/>
              <w:outlineLvl w:val="9"/>
              <w:rPr>
                <w:rFonts w:hint="eastAsia" w:ascii="仿宋_GB2312" w:hAnsi="仿宋_GB2312" w:eastAsia="仿宋_GB2312" w:cs="仿宋_GB2312"/>
                <w:sz w:val="24"/>
                <w:szCs w:val="24"/>
                <w:highlight w:val="none"/>
              </w:rPr>
            </w:pPr>
          </w:p>
        </w:tc>
        <w:tc>
          <w:tcPr>
            <w:tcW w:w="4252" w:type="dxa"/>
            <w:noWrap w:val="0"/>
            <w:vAlign w:val="top"/>
          </w:tcPr>
          <w:p>
            <w:pPr>
              <w:keepNext w:val="0"/>
              <w:keepLines w:val="0"/>
              <w:kinsoku/>
              <w:wordWrap/>
              <w:overflowPunct/>
              <w:topLinePunct w:val="0"/>
              <w:autoSpaceDE/>
              <w:autoSpaceDN/>
              <w:bidi w:val="0"/>
              <w:adjustRightInd w:val="0"/>
              <w:snapToGrid w:val="0"/>
              <w:spacing w:line="360" w:lineRule="auto"/>
              <w:ind w:left="34" w:leftChars="16"/>
              <w:textAlignment w:val="baseline"/>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keepNext w:val="0"/>
              <w:keepLines w:val="0"/>
              <w:kinsoku/>
              <w:wordWrap/>
              <w:overflowPunct/>
              <w:topLinePunct w:val="0"/>
              <w:autoSpaceDE/>
              <w:autoSpaceDN/>
              <w:bidi w:val="0"/>
              <w:adjustRightInd w:val="0"/>
              <w:snapToGrid w:val="0"/>
              <w:spacing w:line="360" w:lineRule="auto"/>
              <w:ind w:left="19" w:leftChars="9"/>
              <w:textAlignment w:val="baseline"/>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时间：</w:t>
            </w:r>
          </w:p>
        </w:tc>
        <w:tc>
          <w:tcPr>
            <w:tcW w:w="4252" w:type="dxa"/>
            <w:noWrap w:val="0"/>
            <w:vAlign w:val="top"/>
          </w:tcPr>
          <w:p>
            <w:pPr>
              <w:keepNext w:val="0"/>
              <w:keepLines w:val="0"/>
              <w:kinsoku/>
              <w:wordWrap/>
              <w:overflowPunct/>
              <w:topLinePunct w:val="0"/>
              <w:autoSpaceDE/>
              <w:autoSpaceDN/>
              <w:bidi w:val="0"/>
              <w:adjustRightInd w:val="0"/>
              <w:snapToGrid w:val="0"/>
              <w:spacing w:line="360" w:lineRule="auto"/>
              <w:ind w:left="34" w:leftChars="16"/>
              <w:textAlignment w:val="baseline"/>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时间：</w:t>
            </w:r>
          </w:p>
        </w:tc>
      </w:tr>
    </w:tbl>
    <w:p>
      <w:pPr>
        <w:keepNext w:val="0"/>
        <w:keepLines w:val="0"/>
        <w:widowControl/>
        <w:kinsoku/>
        <w:wordWrap/>
        <w:overflowPunct/>
        <w:topLinePunct w:val="0"/>
        <w:autoSpaceDE/>
        <w:autoSpaceDN/>
        <w:bidi w:val="0"/>
        <w:jc w:val="left"/>
        <w:outlineLvl w:val="9"/>
        <w:rPr>
          <w:rFonts w:hint="eastAsia" w:ascii="仿宋_GB2312" w:hAnsi="仿宋_GB2312" w:eastAsia="仿宋_GB2312" w:cs="仿宋_GB2312"/>
          <w:b/>
          <w:sz w:val="24"/>
          <w:highlight w:val="none"/>
        </w:rPr>
      </w:pPr>
    </w:p>
    <w:p>
      <w:pPr>
        <w:pStyle w:val="17"/>
        <w:keepNext w:val="0"/>
        <w:keepLines w:val="0"/>
        <w:pageBreakBefore/>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附件3 中标通知书/中选通知书/谈判记录表</w:t>
      </w:r>
    </w:p>
    <w:p>
      <w:pPr>
        <w:pStyle w:val="17"/>
        <w:keepNext w:val="0"/>
        <w:keepLines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sz w:val="24"/>
          <w:highlight w:val="none"/>
        </w:rPr>
      </w:pPr>
      <w:r>
        <w:rPr>
          <w:rFonts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附件4 签约酬金清单</w:t>
      </w:r>
    </w:p>
    <w:p>
      <w:pPr>
        <w:pStyle w:val="17"/>
        <w:keepNext w:val="0"/>
        <w:keepLines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sz w:val="24"/>
          <w:highlight w:val="none"/>
        </w:rPr>
      </w:pPr>
      <w:bookmarkStart w:id="93" w:name="_Toc501718836"/>
      <w:r>
        <w:rPr>
          <w:rFonts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附件5 项目关键岗位人员表</w:t>
      </w:r>
      <w:bookmarkEnd w:id="93"/>
    </w:p>
    <w:p>
      <w:pPr>
        <w:pStyle w:val="17"/>
        <w:keepNext w:val="0"/>
        <w:keepLines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sz w:val="24"/>
          <w:highlight w:val="none"/>
        </w:rPr>
      </w:pPr>
      <w:r>
        <w:rPr>
          <w:rFonts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附件6 澄清与答疑文件</w:t>
      </w:r>
    </w:p>
    <w:p>
      <w:pPr>
        <w:pStyle w:val="17"/>
        <w:keepNext w:val="0"/>
        <w:keepLines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sz w:val="24"/>
          <w:highlight w:val="none"/>
        </w:rPr>
      </w:pPr>
      <w:r>
        <w:rPr>
          <w:rFonts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附件7 最高投标限价公示说明</w:t>
      </w:r>
    </w:p>
    <w:p>
      <w:pPr>
        <w:pStyle w:val="17"/>
        <w:keepNext w:val="0"/>
        <w:keepLines w:val="0"/>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sz w:val="24"/>
          <w:highlight w:val="none"/>
        </w:rPr>
      </w:pPr>
      <w:bookmarkStart w:id="94" w:name="_Toc501718837"/>
      <w:r>
        <w:rPr>
          <w:rFonts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附件8 技术说明及要求</w:t>
      </w:r>
      <w:bookmarkEnd w:id="94"/>
    </w:p>
    <w:p>
      <w:pPr>
        <w:keepNext w:val="0"/>
        <w:keepLines w:val="0"/>
        <w:widowControl/>
        <w:kinsoku/>
        <w:wordWrap/>
        <w:overflowPunct/>
        <w:topLinePunct w:val="0"/>
        <w:autoSpaceDE/>
        <w:autoSpaceDN/>
        <w:bidi w:val="0"/>
        <w:jc w:val="left"/>
        <w:outlineLvl w:val="9"/>
        <w:rPr>
          <w:rFonts w:hint="eastAsia" w:ascii="仿宋_GB2312" w:hAnsi="仿宋_GB2312" w:eastAsia="仿宋_GB2312" w:cs="仿宋_GB2312"/>
          <w:b/>
          <w:kern w:val="2"/>
          <w:sz w:val="24"/>
          <w:szCs w:val="24"/>
          <w:highlight w:val="none"/>
        </w:rPr>
      </w:pPr>
      <w:r>
        <w:rPr>
          <w:rFonts w:hint="eastAsia" w:ascii="仿宋_GB2312" w:hAnsi="仿宋_GB2312" w:eastAsia="仿宋_GB2312" w:cs="仿宋_GB2312"/>
          <w:b/>
          <w:sz w:val="24"/>
          <w:highlight w:val="none"/>
        </w:rPr>
        <w:br w:type="page"/>
      </w:r>
    </w:p>
    <w:p>
      <w:pPr>
        <w:keepNext w:val="0"/>
        <w:keepLines w:val="0"/>
        <w:pageBreakBefore w:val="0"/>
        <w:tabs>
          <w:tab w:val="left" w:pos="2580"/>
          <w:tab w:val="center" w:pos="5121"/>
        </w:tabs>
        <w:kinsoku/>
        <w:wordWrap/>
        <w:overflowPunct/>
        <w:topLinePunct w:val="0"/>
        <w:autoSpaceDE/>
        <w:autoSpaceDN/>
        <w:bidi w:val="0"/>
        <w:snapToGrid w:val="0"/>
        <w:spacing w:beforeAutospacing="0" w:afterAutospacing="0" w:line="360" w:lineRule="auto"/>
        <w:ind w:left="0" w:leftChars="0"/>
        <w:jc w:val="center"/>
        <w:textAlignment w:val="auto"/>
        <w:outlineLvl w:val="9"/>
        <w:rPr>
          <w:rFonts w:hint="eastAsia" w:ascii="仿宋_GB2312" w:hAnsi="仿宋_GB2312" w:eastAsia="仿宋_GB2312" w:cs="仿宋_GB2312"/>
          <w:b/>
          <w:bCs/>
          <w:highlight w:val="none"/>
        </w:rPr>
      </w:pPr>
      <w:bookmarkStart w:id="95" w:name="_Toc499044865"/>
      <w:bookmarkStart w:id="96" w:name="_Toc492458579"/>
      <w:bookmarkStart w:id="97" w:name="_Toc494117897"/>
      <w:r>
        <w:rPr>
          <w:rFonts w:hint="eastAsia" w:ascii="仿宋_GB2312" w:hAnsi="仿宋_GB2312" w:eastAsia="仿宋_GB2312" w:cs="仿宋_GB2312"/>
          <w:b/>
          <w:bCs/>
          <w:highlight w:val="none"/>
        </w:rPr>
        <w:t>第三部分 合同附录</w:t>
      </w:r>
      <w:bookmarkEnd w:id="95"/>
      <w:bookmarkEnd w:id="96"/>
      <w:bookmarkEnd w:id="97"/>
    </w:p>
    <w:p>
      <w:pPr>
        <w:keepNext w:val="0"/>
        <w:keepLines w:val="0"/>
        <w:pageBreakBefore w:val="0"/>
        <w:kinsoku/>
        <w:wordWrap/>
        <w:overflowPunct/>
        <w:topLinePunct w:val="0"/>
        <w:autoSpaceDE/>
        <w:autoSpaceDN/>
        <w:bidi w:val="0"/>
        <w:snapToGrid w:val="0"/>
        <w:spacing w:beforeAutospacing="0" w:afterAutospacing="0" w:line="360" w:lineRule="auto"/>
        <w:ind w:left="0" w:leftChars="0"/>
        <w:textAlignment w:val="auto"/>
        <w:outlineLvl w:val="9"/>
        <w:rPr>
          <w:rFonts w:hint="eastAsia" w:ascii="仿宋_GB2312" w:hAnsi="仿宋_GB2312" w:eastAsia="仿宋_GB2312" w:cs="仿宋_GB2312"/>
          <w:b/>
          <w:sz w:val="24"/>
          <w:szCs w:val="24"/>
          <w:highlight w:val="none"/>
        </w:rPr>
      </w:pPr>
      <w:bookmarkStart w:id="98" w:name="_Toc499044867"/>
      <w:bookmarkStart w:id="99" w:name="_Toc492458581"/>
      <w:bookmarkStart w:id="100" w:name="_Toc494117899"/>
      <w:r>
        <w:rPr>
          <w:rFonts w:hint="eastAsia" w:ascii="仿宋_GB2312" w:hAnsi="仿宋_GB2312" w:eastAsia="仿宋_GB2312" w:cs="仿宋_GB2312"/>
          <w:b/>
          <w:sz w:val="24"/>
          <w:szCs w:val="24"/>
          <w:highlight w:val="none"/>
        </w:rPr>
        <w:t>附录1银行履约保函（格式）</w:t>
      </w:r>
      <w:bookmarkEnd w:id="98"/>
      <w:bookmarkEnd w:id="99"/>
      <w:bookmarkEnd w:id="100"/>
    </w:p>
    <w:p>
      <w:pPr>
        <w:keepNext w:val="0"/>
        <w:keepLines w:val="0"/>
        <w:pageBreakBefore w:val="0"/>
        <w:kinsoku/>
        <w:wordWrap/>
        <w:overflowPunct/>
        <w:topLinePunct w:val="0"/>
        <w:autoSpaceDE/>
        <w:autoSpaceDN/>
        <w:bidi w:val="0"/>
        <w:snapToGrid w:val="0"/>
        <w:spacing w:beforeAutospacing="0" w:afterAutospacing="0" w:line="360" w:lineRule="auto"/>
        <w:ind w:left="0" w:leftChars="0"/>
        <w:jc w:val="center"/>
        <w:textAlignment w:val="auto"/>
        <w:outlineLvl w:val="9"/>
        <w:rPr>
          <w:rFonts w:hint="eastAsia" w:ascii="仿宋_GB2312" w:hAnsi="仿宋_GB2312" w:eastAsia="仿宋_GB2312" w:cs="仿宋_GB2312"/>
          <w:b/>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ind w:left="0" w:leftChars="0"/>
        <w:jc w:val="center"/>
        <w:textAlignment w:val="auto"/>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 xml:space="preserve">                            保函编号：</w:t>
      </w:r>
    </w:p>
    <w:p>
      <w:pPr>
        <w:keepNext w:val="0"/>
        <w:keepLines w:val="0"/>
        <w:pageBreakBefore w:val="0"/>
        <w:kinsoku/>
        <w:wordWrap/>
        <w:overflowPunct/>
        <w:topLinePunct w:val="0"/>
        <w:autoSpaceDE/>
        <w:autoSpaceDN/>
        <w:bidi w:val="0"/>
        <w:spacing w:beforeAutospacing="0" w:afterAutospacing="0" w:line="360" w:lineRule="auto"/>
        <w:ind w:left="0" w:leftChars="0"/>
        <w:jc w:val="center"/>
        <w:textAlignment w:val="auto"/>
        <w:outlineLvl w:val="9"/>
        <w:rPr>
          <w:rFonts w:hint="eastAsia" w:ascii="仿宋_GB2312" w:hAnsi="仿宋_GB2312" w:eastAsia="仿宋_GB2312" w:cs="仿宋_GB2312"/>
          <w:b/>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ind w:left="0" w:leftChars="0"/>
        <w:jc w:val="center"/>
        <w:textAlignment w:val="auto"/>
        <w:outlineLvl w:val="9"/>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银行履约保函</w:t>
      </w:r>
    </w:p>
    <w:p>
      <w:pPr>
        <w:keepNext w:val="0"/>
        <w:keepLines w:val="0"/>
        <w:pageBreakBefore w:val="0"/>
        <w:kinsoku/>
        <w:wordWrap/>
        <w:overflowPunct/>
        <w:topLinePunct w:val="0"/>
        <w:autoSpaceDE/>
        <w:autoSpaceDN/>
        <w:bidi w:val="0"/>
        <w:spacing w:beforeAutospacing="0" w:afterAutospacing="0" w:line="360" w:lineRule="auto"/>
        <w:ind w:left="0" w:leftChars="0"/>
        <w:jc w:val="center"/>
        <w:textAlignment w:val="auto"/>
        <w:outlineLvl w:val="9"/>
        <w:rPr>
          <w:rFonts w:hint="eastAsia" w:ascii="仿宋_GB2312" w:hAnsi="仿宋_GB2312" w:eastAsia="仿宋_GB2312" w:cs="仿宋_GB2312"/>
          <w:b/>
          <w:sz w:val="24"/>
          <w:szCs w:val="24"/>
          <w:highlight w:val="none"/>
        </w:rPr>
      </w:pP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textAlignment w:val="auto"/>
        <w:outlineLvl w:val="9"/>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甲方（全称）：</w:t>
      </w:r>
      <w:r>
        <w:rPr>
          <w:rFonts w:hint="eastAsia" w:ascii="仿宋_GB2312" w:hAnsi="仿宋_GB2312" w:eastAsia="仿宋_GB2312" w:cs="仿宋_GB2312"/>
          <w:sz w:val="24"/>
          <w:szCs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鉴于甲方</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（以下简称“你方”）与</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（乙方全称，以下简称“乙方”）于</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日协商一致共同签订合同编号为</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的《</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合同》（以下简称“合同”）。 我方愿意无条件地、不可撤销地就乙方履行与你方签订的合同，向你方提供以下见索即付担保：</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1、担保金额为人民币（大写）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元（小写：¥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2、担保期限为自本保函生效之日起至</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之日止。</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3、在本担保有效期内，因乙方违反合同约定的义务给你方造成经济损失时，我方在收到你方以书面形式提出的在担保金额内的赔偿要求后，在 7 个工作日内无条件支付。</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4、你方和乙方按合同约定变更合同时，我方承担本担保规定的义务不变。</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5、因本保函发生的纠纷，可由双方协商解决，协商不成的，任何一方均可提请在你方所在地人民法院起诉。</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本保函自我方加盖公章之日起生效。</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03" w:firstLineChars="168"/>
        <w:textAlignment w:val="auto"/>
        <w:outlineLvl w:val="9"/>
        <w:rPr>
          <w:rFonts w:hint="eastAsia" w:ascii="仿宋_GB2312" w:hAnsi="仿宋_GB2312" w:eastAsia="仿宋_GB2312" w:cs="仿宋_GB2312"/>
          <w:sz w:val="24"/>
          <w:szCs w:val="20"/>
          <w:highlight w:val="none"/>
        </w:rPr>
      </w:pP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担保人（盖公章）：</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签字：</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地址：</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邮政编码：</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电话：</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传真：</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80" w:firstLineChars="200"/>
        <w:textAlignment w:val="auto"/>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sz w:val="24"/>
          <w:szCs w:val="20"/>
          <w:highlight w:val="none"/>
        </w:rPr>
        <w:t>时间：</w:t>
      </w:r>
      <w:r>
        <w:rPr>
          <w:rFonts w:ascii="仿宋_GB2312" w:hAnsi="仿宋_GB2312" w:eastAsia="仿宋_GB2312" w:cs="仿宋_GB2312"/>
          <w:sz w:val="24"/>
          <w:highlight w:val="none"/>
          <w:lang w:bidi="en-US"/>
        </w:rPr>
        <w:br w:type="page"/>
      </w:r>
    </w:p>
    <w:p>
      <w:pPr>
        <w:keepNext w:val="0"/>
        <w:keepLines w:val="0"/>
        <w:pageBreakBefore w:val="0"/>
        <w:tabs>
          <w:tab w:val="left" w:pos="2580"/>
          <w:tab w:val="center" w:pos="5121"/>
        </w:tabs>
        <w:kinsoku/>
        <w:wordWrap/>
        <w:overflowPunct/>
        <w:topLinePunct w:val="0"/>
        <w:autoSpaceDE/>
        <w:autoSpaceDN/>
        <w:bidi w:val="0"/>
        <w:snapToGrid w:val="0"/>
        <w:spacing w:beforeAutospacing="0" w:afterAutospacing="0" w:line="360" w:lineRule="auto"/>
        <w:ind w:left="0" w:leftChars="0"/>
        <w:jc w:val="left"/>
        <w:textAlignment w:val="auto"/>
        <w:outlineLvl w:val="9"/>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第四部分  招标文件/自主竞争性谈判文件/直接委托谈判文件、澄清与答疑文件及其他补充资料（如有，另册）</w:t>
      </w:r>
    </w:p>
    <w:p>
      <w:pPr>
        <w:keepNext w:val="0"/>
        <w:keepLines w:val="0"/>
        <w:pageBreakBefore w:val="0"/>
        <w:widowControl/>
        <w:kinsoku/>
        <w:wordWrap/>
        <w:overflowPunct/>
        <w:topLinePunct w:val="0"/>
        <w:autoSpaceDE/>
        <w:autoSpaceDN/>
        <w:bidi w:val="0"/>
        <w:snapToGrid w:val="0"/>
        <w:spacing w:beforeAutospacing="0" w:afterAutospacing="0" w:line="360" w:lineRule="auto"/>
        <w:ind w:left="0" w:leftChars="0"/>
        <w:jc w:val="left"/>
        <w:textAlignment w:val="auto"/>
        <w:outlineLvl w:val="9"/>
        <w:rPr>
          <w:rFonts w:hint="eastAsia" w:ascii="仿宋_GB2312" w:hAnsi="仿宋_GB2312" w:eastAsia="仿宋_GB2312" w:cs="仿宋_GB2312"/>
          <w:sz w:val="24"/>
          <w:szCs w:val="24"/>
          <w:highlight w:val="none"/>
          <w:lang w:bidi="en-US"/>
        </w:rPr>
      </w:pPr>
    </w:p>
    <w:p>
      <w:pPr>
        <w:keepNext w:val="0"/>
        <w:keepLines w:val="0"/>
        <w:pageBreakBefore w:val="0"/>
        <w:widowControl/>
        <w:kinsoku/>
        <w:wordWrap/>
        <w:overflowPunct/>
        <w:topLinePunct w:val="0"/>
        <w:autoSpaceDE/>
        <w:autoSpaceDN/>
        <w:bidi w:val="0"/>
        <w:snapToGrid w:val="0"/>
        <w:spacing w:beforeAutospacing="0" w:afterAutospacing="0" w:line="360" w:lineRule="auto"/>
        <w:ind w:left="0" w:leftChars="0"/>
        <w:jc w:val="left"/>
        <w:textAlignment w:val="auto"/>
        <w:outlineLvl w:val="9"/>
        <w:rPr>
          <w:rFonts w:hint="eastAsia" w:ascii="仿宋_GB2312" w:hAnsi="仿宋_GB2312" w:eastAsia="仿宋_GB2312" w:cs="仿宋_GB2312"/>
          <w:sz w:val="24"/>
          <w:szCs w:val="24"/>
          <w:highlight w:val="none"/>
          <w:lang w:bidi="en-US"/>
        </w:rPr>
      </w:pPr>
    </w:p>
    <w:p>
      <w:pPr>
        <w:keepNext w:val="0"/>
        <w:keepLines w:val="0"/>
        <w:pageBreakBefore w:val="0"/>
        <w:widowControl/>
        <w:kinsoku/>
        <w:wordWrap/>
        <w:overflowPunct/>
        <w:topLinePunct w:val="0"/>
        <w:autoSpaceDE/>
        <w:autoSpaceDN/>
        <w:bidi w:val="0"/>
        <w:snapToGrid w:val="0"/>
        <w:spacing w:beforeAutospacing="0" w:afterAutospacing="0" w:line="360" w:lineRule="auto"/>
        <w:ind w:left="0" w:leftChars="0"/>
        <w:jc w:val="left"/>
        <w:textAlignment w:val="auto"/>
        <w:outlineLvl w:val="9"/>
        <w:rPr>
          <w:rFonts w:hint="eastAsia" w:ascii="仿宋_GB2312" w:hAnsi="仿宋_GB2312" w:eastAsia="仿宋_GB2312" w:cs="仿宋_GB2312"/>
          <w:sz w:val="24"/>
          <w:szCs w:val="24"/>
          <w:highlight w:val="none"/>
          <w:lang w:bidi="en-US"/>
        </w:rPr>
      </w:pPr>
    </w:p>
    <w:p>
      <w:pPr>
        <w:keepNext w:val="0"/>
        <w:keepLines w:val="0"/>
        <w:pageBreakBefore w:val="0"/>
        <w:widowControl/>
        <w:kinsoku/>
        <w:wordWrap/>
        <w:overflowPunct/>
        <w:topLinePunct w:val="0"/>
        <w:autoSpaceDE/>
        <w:autoSpaceDN/>
        <w:bidi w:val="0"/>
        <w:snapToGrid w:val="0"/>
        <w:spacing w:beforeAutospacing="0" w:afterAutospacing="0" w:line="360" w:lineRule="auto"/>
        <w:ind w:left="0" w:leftChars="0"/>
        <w:jc w:val="left"/>
        <w:textAlignment w:val="auto"/>
        <w:outlineLvl w:val="9"/>
        <w:rPr>
          <w:rFonts w:hint="eastAsia" w:ascii="仿宋_GB2312" w:hAnsi="仿宋_GB2312" w:eastAsia="仿宋_GB2312" w:cs="仿宋_GB2312"/>
          <w:sz w:val="24"/>
          <w:szCs w:val="24"/>
          <w:highlight w:val="none"/>
          <w:lang w:bidi="en-US"/>
        </w:rPr>
      </w:pPr>
    </w:p>
    <w:p>
      <w:pPr>
        <w:keepNext w:val="0"/>
        <w:keepLines w:val="0"/>
        <w:pageBreakBefore w:val="0"/>
        <w:widowControl/>
        <w:kinsoku/>
        <w:wordWrap/>
        <w:overflowPunct/>
        <w:topLinePunct w:val="0"/>
        <w:autoSpaceDE/>
        <w:autoSpaceDN/>
        <w:bidi w:val="0"/>
        <w:snapToGrid w:val="0"/>
        <w:spacing w:beforeAutospacing="0" w:afterAutospacing="0" w:line="360" w:lineRule="auto"/>
        <w:ind w:left="0" w:leftChars="0"/>
        <w:jc w:val="left"/>
        <w:textAlignment w:val="auto"/>
        <w:outlineLvl w:val="9"/>
        <w:rPr>
          <w:rFonts w:hint="eastAsia" w:ascii="仿宋_GB2312" w:hAnsi="仿宋_GB2312" w:eastAsia="仿宋_GB2312" w:cs="仿宋_GB2312"/>
          <w:sz w:val="24"/>
          <w:szCs w:val="24"/>
          <w:highlight w:val="none"/>
          <w:lang w:bidi="en-US"/>
        </w:rPr>
      </w:pPr>
    </w:p>
    <w:p>
      <w:pPr>
        <w:keepNext w:val="0"/>
        <w:keepLines w:val="0"/>
        <w:pageBreakBefore w:val="0"/>
        <w:tabs>
          <w:tab w:val="left" w:pos="2580"/>
          <w:tab w:val="center" w:pos="5121"/>
        </w:tabs>
        <w:kinsoku/>
        <w:wordWrap/>
        <w:overflowPunct/>
        <w:topLinePunct w:val="0"/>
        <w:autoSpaceDE/>
        <w:autoSpaceDN/>
        <w:bidi w:val="0"/>
        <w:snapToGrid w:val="0"/>
        <w:spacing w:beforeAutospacing="0" w:afterAutospacing="0" w:line="360" w:lineRule="auto"/>
        <w:ind w:left="0" w:leftChars="0"/>
        <w:jc w:val="left"/>
        <w:textAlignment w:val="auto"/>
        <w:outlineLvl w:val="9"/>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第五部分  投标文件/谈判响应文件、澄清文件及其他补充资料（如有，另册）</w:t>
      </w:r>
    </w:p>
    <w:p>
      <w:pPr>
        <w:keepNext w:val="0"/>
        <w:keepLines w:val="0"/>
        <w:pageBreakBefore w:val="0"/>
        <w:widowControl/>
        <w:kinsoku/>
        <w:wordWrap/>
        <w:overflowPunct/>
        <w:topLinePunct w:val="0"/>
        <w:autoSpaceDE/>
        <w:autoSpaceDN/>
        <w:bidi w:val="0"/>
        <w:snapToGrid w:val="0"/>
        <w:spacing w:beforeAutospacing="0" w:afterAutospacing="0" w:line="360" w:lineRule="auto"/>
        <w:ind w:left="0" w:leftChars="0"/>
        <w:jc w:val="left"/>
        <w:textAlignment w:val="auto"/>
        <w:outlineLvl w:val="9"/>
        <w:rPr>
          <w:rFonts w:hint="eastAsia" w:ascii="仿宋_GB2312" w:hAnsi="仿宋_GB2312" w:eastAsia="仿宋_GB2312" w:cs="仿宋_GB2312"/>
          <w:highlight w:val="none"/>
        </w:rPr>
      </w:pPr>
    </w:p>
    <w:p>
      <w:pPr>
        <w:keepNext w:val="0"/>
        <w:keepLines w:val="0"/>
        <w:pageBreakBefore w:val="0"/>
        <w:kinsoku/>
        <w:wordWrap/>
        <w:overflowPunct/>
        <w:topLinePunct w:val="0"/>
        <w:autoSpaceDE/>
        <w:autoSpaceDN/>
        <w:bidi w:val="0"/>
        <w:spacing w:beforeAutospacing="0" w:afterAutospacing="0" w:line="360" w:lineRule="auto"/>
        <w:ind w:left="0" w:leftChars="0"/>
        <w:textAlignment w:val="auto"/>
        <w:outlineLvl w:val="9"/>
      </w:pPr>
    </w:p>
    <w:p>
      <w:pPr>
        <w:keepNext w:val="0"/>
        <w:keepLines w:val="0"/>
        <w:pageBreakBefore w:val="0"/>
        <w:kinsoku/>
        <w:wordWrap/>
        <w:overflowPunct/>
        <w:topLinePunct w:val="0"/>
        <w:autoSpaceDE/>
        <w:autoSpaceDN/>
        <w:bidi w:val="0"/>
        <w:spacing w:beforeAutospacing="0" w:afterAutospacing="0" w:line="360" w:lineRule="auto"/>
        <w:ind w:left="0" w:leftChars="0"/>
        <w:jc w:val="center"/>
        <w:textAlignment w:val="auto"/>
        <w:outlineLvl w:val="9"/>
        <w:rPr>
          <w:rFonts w:ascii="仿宋_GB2312" w:hAnsi="仿宋_GB2312" w:eastAsia="仿宋_GB2312" w:cs="仿宋_GB2312"/>
          <w:b/>
          <w:bCs/>
          <w:spacing w:val="30"/>
          <w:sz w:val="28"/>
          <w:szCs w:val="28"/>
        </w:rPr>
        <w:sectPr>
          <w:footerReference r:id="rId11" w:type="default"/>
          <w:pgSz w:w="11906" w:h="16838"/>
          <w:pgMar w:top="2098" w:right="1474" w:bottom="1984" w:left="1587" w:header="851" w:footer="992" w:gutter="0"/>
          <w:pgNumType w:fmt="decimal"/>
          <w:cols w:space="0" w:num="1"/>
          <w:docGrid w:type="lines" w:linePitch="319" w:charSpace="0"/>
        </w:sectPr>
      </w:pPr>
    </w:p>
    <w:p>
      <w:pPr>
        <w:snapToGrid w:val="0"/>
        <w:spacing w:line="360" w:lineRule="auto"/>
        <w:jc w:val="center"/>
        <w:outlineLvl w:val="0"/>
        <w:rPr>
          <w:rFonts w:ascii="宋体" w:hAnsi="宋体" w:cs="宋体"/>
          <w:bCs/>
          <w:sz w:val="32"/>
          <w:szCs w:val="32"/>
        </w:rPr>
      </w:pPr>
      <w:bookmarkStart w:id="101" w:name="_Toc20370"/>
      <w:r>
        <w:rPr>
          <w:rFonts w:hint="eastAsia"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3360;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sz w:val="32"/>
          <w:szCs w:val="32"/>
        </w:rPr>
        <w:t>第七章</w:t>
      </w:r>
      <w:bookmarkStart w:id="102" w:name="_Toc14891079"/>
      <w:r>
        <w:rPr>
          <w:rFonts w:hint="eastAsia" w:ascii="宋体" w:hAnsi="宋体" w:cs="宋体"/>
          <w:b/>
          <w:sz w:val="32"/>
          <w:szCs w:val="32"/>
        </w:rPr>
        <w:t xml:space="preserve">  </w:t>
      </w:r>
      <w:r>
        <w:rPr>
          <w:rFonts w:hint="eastAsia" w:ascii="宋体" w:hAnsi="宋体" w:cs="宋体"/>
          <w:b/>
          <w:bCs/>
          <w:sz w:val="32"/>
          <w:szCs w:val="32"/>
        </w:rPr>
        <w:t>响应文件组成</w:t>
      </w:r>
      <w:bookmarkEnd w:id="71"/>
      <w:bookmarkEnd w:id="72"/>
      <w:bookmarkEnd w:id="73"/>
      <w:bookmarkEnd w:id="74"/>
      <w:bookmarkEnd w:id="101"/>
      <w:bookmarkEnd w:id="102"/>
    </w:p>
    <w:p>
      <w:pPr>
        <w:spacing w:line="360" w:lineRule="auto"/>
        <w:rPr>
          <w:rFonts w:ascii="宋体" w:hAnsi="宋体"/>
          <w:b/>
          <w:bCs/>
          <w:sz w:val="52"/>
          <w:szCs w:val="52"/>
        </w:rPr>
      </w:pPr>
    </w:p>
    <w:p>
      <w:pPr>
        <w:spacing w:line="360" w:lineRule="auto"/>
        <w:jc w:val="center"/>
        <w:rPr>
          <w:rFonts w:ascii="宋体" w:hAnsi="宋体"/>
          <w:b/>
          <w:bCs/>
          <w:sz w:val="52"/>
          <w:szCs w:val="52"/>
        </w:rPr>
      </w:pPr>
      <w:r>
        <w:rPr>
          <w:rFonts w:hint="eastAsia" w:ascii="宋体" w:hAnsi="宋体"/>
          <w:b/>
          <w:bCs/>
          <w:sz w:val="52"/>
          <w:szCs w:val="52"/>
        </w:rPr>
        <w:t>自主竞争性谈判</w:t>
      </w:r>
    </w:p>
    <w:p>
      <w:pPr>
        <w:adjustRightInd w:val="0"/>
        <w:snapToGrid w:val="0"/>
        <w:spacing w:line="360" w:lineRule="auto"/>
        <w:jc w:val="center"/>
        <w:rPr>
          <w:rFonts w:ascii="宋体" w:hAnsi="宋体"/>
          <w:b/>
          <w:bCs/>
          <w:sz w:val="52"/>
          <w:szCs w:val="52"/>
        </w:rPr>
      </w:pPr>
      <w:r>
        <w:rPr>
          <w:rFonts w:hint="eastAsia" w:ascii="宋体" w:hAnsi="宋体"/>
          <w:b/>
          <w:bCs/>
          <w:sz w:val="52"/>
          <w:szCs w:val="52"/>
        </w:rPr>
        <w:t>响应文件</w:t>
      </w:r>
    </w:p>
    <w:p>
      <w:pPr>
        <w:spacing w:line="360" w:lineRule="auto"/>
        <w:rPr>
          <w:rFonts w:ascii="宋体" w:hAnsi="宋体"/>
          <w:b/>
          <w:bCs/>
          <w:sz w:val="28"/>
          <w:szCs w:val="28"/>
        </w:rPr>
      </w:pPr>
    </w:p>
    <w:p>
      <w:pPr>
        <w:pStyle w:val="27"/>
        <w:spacing w:line="360" w:lineRule="auto"/>
        <w:rPr>
          <w:rFonts w:hAnsi="宋体"/>
          <w:b/>
          <w:bCs/>
          <w:sz w:val="32"/>
          <w:szCs w:val="32"/>
        </w:rPr>
      </w:pPr>
    </w:p>
    <w:p>
      <w:pPr>
        <w:pStyle w:val="27"/>
        <w:adjustRightInd w:val="0"/>
        <w:snapToGrid w:val="0"/>
        <w:spacing w:line="360" w:lineRule="auto"/>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7"/>
        <w:adjustRightInd w:val="0"/>
        <w:snapToGrid w:val="0"/>
        <w:spacing w:line="360" w:lineRule="auto"/>
        <w:rPr>
          <w:rFonts w:hAnsi="宋体"/>
          <w:b/>
          <w:bCs/>
          <w:sz w:val="32"/>
          <w:szCs w:val="32"/>
          <w:u w:val="single"/>
        </w:rPr>
      </w:pPr>
    </w:p>
    <w:p>
      <w:pPr>
        <w:pStyle w:val="27"/>
        <w:adjustRightInd w:val="0"/>
        <w:snapToGrid w:val="0"/>
        <w:spacing w:line="360" w:lineRule="auto"/>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7"/>
        <w:adjustRightInd w:val="0"/>
        <w:snapToGrid w:val="0"/>
        <w:spacing w:line="360" w:lineRule="auto"/>
        <w:rPr>
          <w:rFonts w:hAnsi="宋体"/>
          <w:b/>
          <w:bCs/>
          <w:sz w:val="32"/>
          <w:szCs w:val="32"/>
          <w:u w:val="single"/>
        </w:rPr>
      </w:pPr>
    </w:p>
    <w:p>
      <w:pPr>
        <w:pStyle w:val="27"/>
        <w:adjustRightInd w:val="0"/>
        <w:snapToGrid w:val="0"/>
        <w:spacing w:line="360" w:lineRule="auto"/>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pStyle w:val="27"/>
        <w:adjustRightInd w:val="0"/>
        <w:snapToGrid w:val="0"/>
        <w:spacing w:line="360" w:lineRule="auto"/>
        <w:rPr>
          <w:rFonts w:hAnsi="宋体"/>
          <w:b/>
          <w:bCs/>
          <w:sz w:val="32"/>
          <w:szCs w:val="32"/>
          <w:u w:val="single"/>
        </w:rPr>
      </w:pPr>
    </w:p>
    <w:p>
      <w:pPr>
        <w:pStyle w:val="27"/>
        <w:adjustRightInd w:val="0"/>
        <w:snapToGrid w:val="0"/>
        <w:spacing w:line="360" w:lineRule="auto"/>
        <w:rPr>
          <w:rFonts w:hAnsi="宋体"/>
          <w:b/>
          <w:bCs/>
          <w:sz w:val="32"/>
          <w:szCs w:val="32"/>
          <w:u w:val="single"/>
        </w:rPr>
      </w:pPr>
    </w:p>
    <w:p>
      <w:pPr>
        <w:pStyle w:val="27"/>
        <w:adjustRightInd w:val="0"/>
        <w:snapToGrid w:val="0"/>
        <w:spacing w:line="360" w:lineRule="auto"/>
        <w:rPr>
          <w:rFonts w:hAnsi="宋体"/>
          <w:b/>
          <w:bCs/>
          <w:sz w:val="32"/>
          <w:szCs w:val="32"/>
          <w:u w:val="single"/>
        </w:rPr>
      </w:pPr>
    </w:p>
    <w:p>
      <w:pPr>
        <w:pStyle w:val="27"/>
        <w:adjustRightInd w:val="0"/>
        <w:snapToGrid w:val="0"/>
        <w:spacing w:line="360" w:lineRule="auto"/>
        <w:rPr>
          <w:rFonts w:hAnsi="宋体"/>
          <w:b/>
          <w:bCs/>
          <w:sz w:val="32"/>
          <w:szCs w:val="32"/>
          <w:u w:val="single"/>
        </w:rPr>
      </w:pPr>
    </w:p>
    <w:p>
      <w:pPr>
        <w:pStyle w:val="27"/>
        <w:adjustRightInd w:val="0"/>
        <w:snapToGrid w:val="0"/>
        <w:spacing w:line="360" w:lineRule="auto"/>
        <w:rPr>
          <w:rFonts w:hAnsi="宋体"/>
          <w:b/>
          <w:bCs/>
          <w:sz w:val="32"/>
          <w:szCs w:val="32"/>
          <w:u w:val="single"/>
        </w:rPr>
      </w:pPr>
    </w:p>
    <w:p>
      <w:pPr>
        <w:pStyle w:val="27"/>
        <w:adjustRightInd w:val="0"/>
        <w:snapToGrid w:val="0"/>
        <w:spacing w:line="360" w:lineRule="auto"/>
        <w:rPr>
          <w:rFonts w:hAnsi="宋体"/>
          <w:b/>
          <w:bCs/>
          <w:sz w:val="32"/>
          <w:szCs w:val="32"/>
          <w:u w:val="single"/>
        </w:rPr>
      </w:pPr>
    </w:p>
    <w:p>
      <w:pPr>
        <w:pStyle w:val="27"/>
        <w:adjustRightInd w:val="0"/>
        <w:snapToGrid w:val="0"/>
        <w:spacing w:line="360" w:lineRule="auto"/>
        <w:jc w:val="center"/>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spacing w:line="360" w:lineRule="exact"/>
        <w:rPr>
          <w:rFonts w:ascii="宋体" w:hAnsi="宋体"/>
          <w:b/>
        </w:rPr>
      </w:pPr>
    </w:p>
    <w:p>
      <w:pPr>
        <w:adjustRightInd w:val="0"/>
        <w:snapToGrid w:val="0"/>
        <w:spacing w:line="360" w:lineRule="auto"/>
        <w:jc w:val="center"/>
        <w:outlineLvl w:val="0"/>
        <w:rPr>
          <w:rFonts w:ascii="黑体" w:eastAsia="黑体"/>
          <w:b/>
          <w:sz w:val="32"/>
          <w:szCs w:val="32"/>
        </w:rPr>
        <w:sectPr>
          <w:pgSz w:w="11906" w:h="16838"/>
          <w:pgMar w:top="2098" w:right="1474" w:bottom="1984" w:left="1587" w:header="851" w:footer="992" w:gutter="0"/>
          <w:pgNumType w:fmt="decimal"/>
          <w:cols w:space="0" w:num="1"/>
          <w:docGrid w:type="lines" w:linePitch="319" w:charSpace="0"/>
        </w:sectPr>
      </w:pPr>
    </w:p>
    <w:p>
      <w:pPr>
        <w:widowControl/>
        <w:spacing w:line="360" w:lineRule="auto"/>
        <w:jc w:val="center"/>
        <w:rPr>
          <w:rFonts w:hAnsi="宋体" w:cs="宋体"/>
          <w:b/>
          <w:bCs/>
          <w:sz w:val="32"/>
          <w:szCs w:val="32"/>
        </w:rPr>
      </w:pPr>
      <w:r>
        <w:rPr>
          <w:rFonts w:hint="eastAsia" w:ascii="宋体" w:hAnsi="宋体"/>
          <w:b/>
          <w:sz w:val="32"/>
          <w:szCs w:val="32"/>
        </w:rPr>
        <w:t>目   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ascii="宋体" w:hAnsi="宋体"/>
          <w:sz w:val="24"/>
        </w:rPr>
      </w:pPr>
    </w:p>
    <w:p>
      <w:pPr>
        <w:adjustRightInd w:val="0"/>
        <w:snapToGrid w:val="0"/>
        <w:spacing w:line="360" w:lineRule="auto"/>
        <w:rPr>
          <w:rFonts w:ascii="宋体" w:hAnsi="宋体"/>
          <w:szCs w:val="21"/>
        </w:rPr>
      </w:pPr>
      <w:r>
        <w:rPr>
          <w:rFonts w:hint="eastAsia" w:ascii="宋体" w:hAnsi="宋体"/>
          <w:szCs w:val="21"/>
        </w:rPr>
        <w:t>一、谈判承诺书</w:t>
      </w:r>
    </w:p>
    <w:p>
      <w:pPr>
        <w:adjustRightInd w:val="0"/>
        <w:snapToGrid w:val="0"/>
        <w:spacing w:line="360" w:lineRule="auto"/>
        <w:jc w:val="left"/>
        <w:rPr>
          <w:rFonts w:ascii="宋体" w:hAnsi="宋体"/>
          <w:szCs w:val="21"/>
        </w:rPr>
      </w:pPr>
      <w:r>
        <w:rPr>
          <w:rFonts w:hint="eastAsia" w:ascii="宋体" w:hAnsi="宋体"/>
          <w:szCs w:val="21"/>
        </w:rPr>
        <w:t>二、法定代表人身份证明书</w:t>
      </w:r>
    </w:p>
    <w:p>
      <w:pPr>
        <w:adjustRightInd w:val="0"/>
        <w:snapToGrid w:val="0"/>
        <w:spacing w:line="360" w:lineRule="auto"/>
        <w:jc w:val="left"/>
        <w:rPr>
          <w:rFonts w:ascii="宋体" w:hAnsi="宋体"/>
          <w:szCs w:val="21"/>
        </w:rPr>
      </w:pPr>
      <w:r>
        <w:rPr>
          <w:rFonts w:hint="eastAsia" w:ascii="宋体" w:hAnsi="宋体"/>
          <w:szCs w:val="21"/>
        </w:rPr>
        <w:t>三、授权委托书</w:t>
      </w:r>
    </w:p>
    <w:p>
      <w:pPr>
        <w:adjustRightInd w:val="0"/>
        <w:snapToGrid w:val="0"/>
        <w:spacing w:line="360" w:lineRule="auto"/>
        <w:jc w:val="left"/>
        <w:rPr>
          <w:rFonts w:hAnsi="宋体"/>
          <w:szCs w:val="21"/>
        </w:rPr>
      </w:pPr>
      <w:r>
        <w:rPr>
          <w:rFonts w:hint="eastAsia" w:ascii="宋体" w:hAnsi="宋体"/>
          <w:szCs w:val="21"/>
        </w:rPr>
        <w:t>四、</w:t>
      </w:r>
      <w:r>
        <w:rPr>
          <w:rFonts w:hint="eastAsia" w:hAnsi="宋体"/>
          <w:szCs w:val="21"/>
        </w:rPr>
        <w:t>谈判单位资格条件证明文件</w:t>
      </w:r>
    </w:p>
    <w:p>
      <w:pPr>
        <w:adjustRightInd w:val="0"/>
        <w:snapToGrid w:val="0"/>
        <w:spacing w:line="360" w:lineRule="auto"/>
        <w:rPr>
          <w:rFonts w:ascii="宋体" w:hAnsi="宋体"/>
          <w:szCs w:val="21"/>
        </w:rPr>
      </w:pPr>
      <w:r>
        <w:rPr>
          <w:rFonts w:hint="eastAsia" w:ascii="宋体" w:hAnsi="宋体"/>
          <w:szCs w:val="21"/>
        </w:rPr>
        <w:t>五、</w:t>
      </w:r>
      <w:r>
        <w:rPr>
          <w:rFonts w:hint="eastAsia" w:hAnsi="宋体"/>
          <w:bCs/>
          <w:szCs w:val="21"/>
        </w:rPr>
        <w:t>服务方案</w:t>
      </w:r>
    </w:p>
    <w:p>
      <w:pPr>
        <w:adjustRightInd w:val="0"/>
        <w:snapToGrid w:val="0"/>
        <w:spacing w:line="360" w:lineRule="auto"/>
        <w:rPr>
          <w:rFonts w:hint="eastAsia" w:ascii="宋体" w:hAnsi="宋体"/>
          <w:szCs w:val="21"/>
        </w:rPr>
      </w:pPr>
      <w:r>
        <w:rPr>
          <w:rFonts w:hint="eastAsia" w:ascii="宋体" w:hAnsi="宋体"/>
          <w:szCs w:val="21"/>
        </w:rPr>
        <w:t>六、报价一览表</w:t>
      </w:r>
    </w:p>
    <w:p>
      <w:pPr>
        <w:adjustRightInd w:val="0"/>
        <w:snapToGrid w:val="0"/>
        <w:spacing w:line="360" w:lineRule="auto"/>
        <w:rPr>
          <w:rFonts w:hint="default" w:ascii="宋体" w:hAnsi="宋体" w:cs="Times New Roman"/>
          <w:szCs w:val="21"/>
          <w:lang w:val="en-US" w:eastAsia="zh-CN"/>
        </w:rPr>
      </w:pPr>
      <w:r>
        <w:rPr>
          <w:rFonts w:hint="eastAsia" w:ascii="宋体" w:hAnsi="宋体" w:cs="Times New Roman"/>
          <w:szCs w:val="21"/>
          <w:lang w:val="en-US" w:eastAsia="zh-CN"/>
        </w:rPr>
        <w:t>七、分项价格表</w:t>
      </w:r>
    </w:p>
    <w:p>
      <w:pPr>
        <w:adjustRightInd w:val="0"/>
        <w:snapToGrid w:val="0"/>
        <w:spacing w:line="360" w:lineRule="auto"/>
        <w:rPr>
          <w:rFonts w:hint="eastAsia" w:ascii="宋体" w:hAnsi="宋体"/>
          <w:szCs w:val="21"/>
        </w:rPr>
      </w:pPr>
      <w:r>
        <w:rPr>
          <w:rFonts w:hint="eastAsia" w:ascii="宋体" w:hAnsi="宋体"/>
          <w:szCs w:val="21"/>
          <w:lang w:val="en-US" w:eastAsia="zh-CN"/>
        </w:rPr>
        <w:t>八</w:t>
      </w:r>
      <w:r>
        <w:rPr>
          <w:rFonts w:hint="eastAsia" w:ascii="宋体" w:hAnsi="宋体"/>
          <w:szCs w:val="21"/>
        </w:rPr>
        <w:t>、其他资料（如有）</w:t>
      </w:r>
    </w:p>
    <w:p>
      <w:pPr>
        <w:ind w:firstLine="480" w:firstLineChars="200"/>
        <w:jc w:val="center"/>
        <w:outlineLvl w:val="1"/>
        <w:rPr>
          <w:rFonts w:ascii="黑体" w:hAnsi="黑体" w:eastAsia="黑体"/>
          <w:b/>
          <w:sz w:val="32"/>
          <w:szCs w:val="32"/>
        </w:rPr>
      </w:pPr>
      <w:r>
        <w:rPr>
          <w:rFonts w:hint="eastAsia" w:ascii="宋体" w:hAnsi="宋体"/>
          <w:sz w:val="24"/>
        </w:rPr>
        <w:br w:type="page"/>
      </w:r>
      <w:bookmarkStart w:id="103" w:name="_Toc32569"/>
      <w:bookmarkStart w:id="104" w:name="_Toc24708"/>
      <w:bookmarkStart w:id="105" w:name="_Toc32600"/>
      <w:bookmarkStart w:id="106" w:name="_Toc14530"/>
      <w:bookmarkStart w:id="107" w:name="_Toc7657"/>
      <w:r>
        <w:rPr>
          <w:rFonts w:hint="eastAsia" w:ascii="宋体" w:hAnsi="宋体" w:cs="宋体"/>
          <w:b/>
          <w:sz w:val="32"/>
          <w:szCs w:val="32"/>
        </w:rPr>
        <w:t>一、谈判承诺书</w:t>
      </w:r>
      <w:bookmarkEnd w:id="103"/>
      <w:bookmarkEnd w:id="104"/>
      <w:bookmarkEnd w:id="105"/>
      <w:bookmarkEnd w:id="106"/>
      <w:bookmarkEnd w:id="107"/>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szCs w:val="21"/>
          <w:highlight w:val="none"/>
        </w:rPr>
      </w:pPr>
      <w:r>
        <w:rPr>
          <w:rFonts w:hint="eastAsia" w:ascii="宋体" w:hAnsi="宋体"/>
          <w:szCs w:val="21"/>
        </w:rPr>
        <w:t>致</w:t>
      </w:r>
      <w:r>
        <w:rPr>
          <w:rFonts w:hint="eastAsia" w:ascii="宋体" w:hAnsi="宋体" w:eastAsia="宋体" w:cs="宋体"/>
          <w:kern w:val="2"/>
          <w:sz w:val="21"/>
          <w:szCs w:val="24"/>
          <w:highlight w:val="none"/>
          <w:u w:val="single"/>
          <w:lang w:val="en-US" w:eastAsia="zh-CN" w:bidi="ar-SA"/>
        </w:rPr>
        <w:t>长沙市轨道交通运营有限公司、长沙市轨道交通四号线建设发展有限公司</w:t>
      </w:r>
      <w:r>
        <w:rPr>
          <w:rFonts w:hint="eastAsia" w:ascii="宋体" w:hAnsi="宋体" w:cs="宋体"/>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szCs w:val="21"/>
        </w:rPr>
      </w:pPr>
      <w:r>
        <w:rPr>
          <w:rFonts w:hint="eastAsia" w:ascii="宋体" w:hAnsi="宋体"/>
          <w:szCs w:val="21"/>
          <w:highlight w:val="none"/>
        </w:rPr>
        <w:t>我方已仔细研究了</w:t>
      </w:r>
      <w:r>
        <w:rPr>
          <w:rFonts w:hint="eastAsia" w:ascii="宋体" w:hAnsi="宋体" w:cs="宋体"/>
          <w:highlight w:val="none"/>
          <w:u w:val="single"/>
          <w:lang w:val="en-US" w:eastAsia="zh-CN"/>
        </w:rPr>
        <w:t>长沙市轨道交通2号线电客车首轮大修、4号线电客车首轮架修概算编制咨询服务项目</w:t>
      </w:r>
      <w:r>
        <w:rPr>
          <w:rFonts w:hint="eastAsia" w:ascii="宋体" w:hAnsi="宋体"/>
          <w:szCs w:val="21"/>
          <w:highlight w:val="none"/>
        </w:rPr>
        <w:t>的竞争性谈判文件（谈判项目编号：</w:t>
      </w:r>
      <w:r>
        <w:rPr>
          <w:rStyle w:val="56"/>
          <w:rFonts w:hint="eastAsia"/>
          <w:color w:val="auto"/>
          <w:kern w:val="0"/>
          <w:highlight w:val="none"/>
          <w:u w:val="single"/>
          <w:shd w:val="clear" w:color="auto" w:fill="FFFFFF"/>
        </w:rPr>
        <w:t>长轨运服采【202</w:t>
      </w:r>
      <w:r>
        <w:rPr>
          <w:rStyle w:val="56"/>
          <w:rFonts w:hint="eastAsia"/>
          <w:color w:val="auto"/>
          <w:kern w:val="0"/>
          <w:highlight w:val="none"/>
          <w:u w:val="single"/>
          <w:shd w:val="clear" w:color="auto" w:fill="FFFFFF"/>
          <w:lang w:val="en-US" w:eastAsia="zh-CN"/>
        </w:rPr>
        <w:t>3</w:t>
      </w:r>
      <w:r>
        <w:rPr>
          <w:rStyle w:val="56"/>
          <w:rFonts w:hint="eastAsia"/>
          <w:color w:val="auto"/>
          <w:kern w:val="0"/>
          <w:highlight w:val="none"/>
          <w:u w:val="single"/>
          <w:shd w:val="clear" w:color="auto" w:fill="FFFFFF"/>
        </w:rPr>
        <w:t>】</w:t>
      </w:r>
      <w:r>
        <w:rPr>
          <w:rStyle w:val="56"/>
          <w:rFonts w:hint="eastAsia"/>
          <w:color w:val="auto"/>
          <w:kern w:val="0"/>
          <w:highlight w:val="none"/>
          <w:u w:val="single"/>
          <w:shd w:val="clear" w:color="auto" w:fill="FFFFFF"/>
          <w:lang w:val="en-US" w:eastAsia="zh-CN"/>
        </w:rPr>
        <w:t>001</w:t>
      </w:r>
      <w:r>
        <w:rPr>
          <w:rStyle w:val="56"/>
          <w:rFonts w:hint="eastAsia"/>
          <w:color w:val="auto"/>
          <w:kern w:val="0"/>
          <w:highlight w:val="none"/>
          <w:u w:val="single"/>
          <w:shd w:val="clear" w:color="auto" w:fill="FFFFFF"/>
        </w:rPr>
        <w:t>号</w:t>
      </w:r>
      <w:r>
        <w:rPr>
          <w:rFonts w:hint="eastAsia" w:ascii="宋体" w:hAnsi="宋体"/>
          <w:szCs w:val="21"/>
          <w:highlight w:val="none"/>
        </w:rPr>
        <w:t>）</w:t>
      </w:r>
      <w:r>
        <w:rPr>
          <w:rFonts w:hint="eastAsia" w:ascii="宋体" w:hAnsi="宋体"/>
          <w:szCs w:val="21"/>
        </w:rPr>
        <w:t>的全部内容，</w:t>
      </w:r>
      <w:r>
        <w:rPr>
          <w:rFonts w:hint="eastAsia" w:hAnsi="宋体"/>
          <w:szCs w:val="21"/>
        </w:rPr>
        <w:t>知悉参加竞争性谈判的风险，我方承诺接受谈判文件的全部条款且无任何异议。</w:t>
      </w:r>
    </w:p>
    <w:p>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rPr>
          <w:rFonts w:hAnsi="宋体"/>
        </w:rPr>
      </w:pPr>
      <w:r>
        <w:rPr>
          <w:rFonts w:hint="eastAsia"/>
        </w:rPr>
        <w:t>参与本项目竞争性谈判活动系本公司自愿行为。</w:t>
      </w:r>
    </w:p>
    <w:p>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pPr>
      <w:r>
        <w:rPr>
          <w:rFonts w:hint="eastAsia"/>
        </w:rPr>
        <w:t>我方同意在谈判文件中规定的提交响应文件截止时间起</w:t>
      </w:r>
      <w:r>
        <w:rPr>
          <w:rFonts w:hint="eastAsia"/>
          <w:u w:val="single"/>
        </w:rPr>
        <w:t>180</w:t>
      </w:r>
      <w:r>
        <w:rPr>
          <w:rFonts w:hint="eastAsia"/>
        </w:rPr>
        <w:t>日历天内(响应文件有效期)遵守本响应文件中的承诺且在此期限期满之前均具有法律约束力。</w:t>
      </w:r>
    </w:p>
    <w:p>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pPr>
      <w:r>
        <w:rPr>
          <w:rFonts w:hint="eastAsia"/>
        </w:rPr>
        <w:t>我方提交的响应文件均为</w:t>
      </w:r>
      <w:r>
        <w:rPr>
          <w:rFonts w:hint="eastAsia"/>
          <w:b/>
          <w:bCs/>
        </w:rPr>
        <w:t>正本一份和副本两份</w:t>
      </w:r>
      <w:r>
        <w:rPr>
          <w:rFonts w:hint="eastAsia"/>
        </w:rPr>
        <w:t>，电子文件（包括响应文件全部内容）一份，并保证响应文件提供的数据和材料是真实、准确的，</w:t>
      </w:r>
      <w:r>
        <w:rPr>
          <w:rFonts w:hint="eastAsia"/>
          <w:b/>
          <w:bCs/>
        </w:rPr>
        <w:t>均无复制、粘贴之情形，且无低于成本的恶意报价行为</w:t>
      </w:r>
      <w:r>
        <w:rPr>
          <w:rFonts w:hint="eastAsia"/>
        </w:rPr>
        <w:t>。否则，愿承担由此引起的一切法律责任。</w:t>
      </w:r>
    </w:p>
    <w:p>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pPr>
      <w:r>
        <w:rPr>
          <w:rFonts w:hint="eastAsia"/>
        </w:rPr>
        <w:t>遵守贵司各项管理制度和谈判现场纪律，服从现场工作人员管理，自觉维护贵司谈判活动秩序。</w:t>
      </w:r>
    </w:p>
    <w:p>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pPr>
      <w:r>
        <w:rPr>
          <w:rFonts w:hint="eastAsia"/>
        </w:rPr>
        <w:t>保证没有组织、参与围标、串标行为。</w:t>
      </w:r>
    </w:p>
    <w:p>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pPr>
      <w:r>
        <w:rPr>
          <w:rFonts w:hint="eastAsia"/>
        </w:rPr>
        <w:t>不与</w:t>
      </w:r>
      <w:r>
        <w:rPr>
          <w:rFonts w:hint="eastAsia"/>
          <w:highlight w:val="none"/>
        </w:rPr>
        <w:t>采购单位</w:t>
      </w:r>
      <w:r>
        <w:rPr>
          <w:rFonts w:hint="eastAsia"/>
        </w:rPr>
        <w:t>或谈判评审小组成员私下联络和串通以牟取中选；不以他人名义参与谈判或者以其他方式弄虚作假骗取中选；不在谈判结束后进行虚假、恶意质疑和投诉。</w:t>
      </w:r>
    </w:p>
    <w:p>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pPr>
      <w:r>
        <w:rPr>
          <w:rFonts w:hint="eastAsia"/>
        </w:rPr>
        <w:t>我方承诺为本项目拟配备人员均满足技术标准及要求且均为我方正式在职人员。若拟配备人员不满足技术标准及要求或证件造假或非我方正式在职人员，视为虚假响应，贵方有权取消我方谈判资格；如已中选，贵方有权取消我方中选供应商资格。</w:t>
      </w:r>
    </w:p>
    <w:p>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pPr>
      <w:r>
        <w:rPr>
          <w:rFonts w:hint="eastAsia"/>
        </w:rPr>
        <w:t>我方承诺，若贵方需要，我方愿意提供任何与本次谈判有关的数据、情况和技术资料。</w:t>
      </w:r>
    </w:p>
    <w:p>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pPr>
      <w:r>
        <w:rPr>
          <w:rFonts w:hint="eastAsia"/>
        </w:rPr>
        <w:t>我方承诺遵守相关法律法规及贵司的有关规定，保证在获得成交资格后，按照谈判文件确定的事项签订合同，履行双方所签订的合同，并承担合同规定的责任和义务。</w:t>
      </w:r>
    </w:p>
    <w:p>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pPr>
      <w:r>
        <w:rPr>
          <w:rFonts w:hint="eastAsia"/>
        </w:rPr>
        <w:t>我方承诺在参与本次竞争性谈判过程中，若出现本文件</w:t>
      </w:r>
      <w:r>
        <w:rPr>
          <w:rFonts w:hint="eastAsia"/>
          <w:b/>
          <w:bCs/>
        </w:rPr>
        <w:t>谈判须知正文</w:t>
      </w:r>
      <w:r>
        <w:rPr>
          <w:rFonts w:hint="eastAsia"/>
        </w:rPr>
        <w:t>第26条规定之情形，我方无条件接受条款规定作出的处罚。</w:t>
      </w:r>
    </w:p>
    <w:p>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pPr>
      <w:r>
        <w:rPr>
          <w:rFonts w:hint="eastAsia"/>
        </w:rPr>
        <w:t>我方承诺完全响应本文件第四章“用户需求书”及第六章“合同格式条款”内的全部内容。</w:t>
      </w:r>
    </w:p>
    <w:p>
      <w:pPr>
        <w:pStyle w:val="27"/>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textAlignment w:val="auto"/>
      </w:pPr>
      <w:r>
        <w:rPr>
          <w:rFonts w:hint="eastAsia"/>
        </w:rPr>
        <w:t>如有违反本承诺书内容的行为，愿意承担由此产生的法律责任及后果。</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cs="宋体"/>
          <w:szCs w:val="21"/>
        </w:rPr>
      </w:pPr>
    </w:p>
    <w:p>
      <w:pPr>
        <w:keepNext w:val="0"/>
        <w:keepLines w:val="0"/>
        <w:pageBreakBefore w:val="0"/>
        <w:widowControl w:val="0"/>
        <w:kinsoku/>
        <w:wordWrap/>
        <w:overflowPunct/>
        <w:topLinePunct w:val="0"/>
        <w:autoSpaceDE/>
        <w:autoSpaceDN/>
        <w:bidi w:val="0"/>
        <w:spacing w:line="360" w:lineRule="auto"/>
        <w:textAlignment w:val="auto"/>
        <w:rPr>
          <w:rFonts w:ascii="宋体" w:hAnsi="宋体" w:cs="宋体"/>
          <w:szCs w:val="21"/>
          <w:u w:val="single"/>
        </w:rPr>
      </w:pPr>
      <w:r>
        <w:rPr>
          <w:rFonts w:hint="eastAsia" w:ascii="宋体" w:hAnsi="宋体" w:cs="宋体"/>
          <w:szCs w:val="21"/>
        </w:rPr>
        <w:t>谈判单位名称：</w:t>
      </w:r>
      <w:r>
        <w:rPr>
          <w:rFonts w:hint="eastAsia" w:ascii="宋体" w:hAnsi="宋体" w:cs="宋体"/>
          <w:szCs w:val="21"/>
          <w:u w:val="single"/>
        </w:rPr>
        <w:t xml:space="preserve">    （盖单位章）         </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szCs w:val="21"/>
        </w:rPr>
        <w:br w:type="page"/>
      </w:r>
    </w:p>
    <w:p>
      <w:pPr>
        <w:adjustRightInd w:val="0"/>
        <w:snapToGrid w:val="0"/>
        <w:spacing w:line="360" w:lineRule="auto"/>
        <w:ind w:right="24"/>
        <w:jc w:val="center"/>
        <w:outlineLvl w:val="1"/>
        <w:rPr>
          <w:rFonts w:ascii="宋体" w:hAnsi="宋体" w:cs="宋体"/>
          <w:b/>
          <w:sz w:val="32"/>
          <w:szCs w:val="32"/>
        </w:rPr>
      </w:pPr>
      <w:bookmarkStart w:id="108" w:name="_Toc1313"/>
      <w:bookmarkStart w:id="109" w:name="_Toc10496"/>
      <w:bookmarkStart w:id="110" w:name="_Toc31277"/>
      <w:bookmarkStart w:id="111" w:name="_Toc3026"/>
      <w:bookmarkStart w:id="112" w:name="_Toc24556"/>
      <w:r>
        <w:rPr>
          <w:rFonts w:hint="eastAsia" w:ascii="宋体" w:hAnsi="宋体" w:cs="宋体"/>
          <w:b/>
          <w:sz w:val="32"/>
          <w:szCs w:val="32"/>
        </w:rPr>
        <w:t>二、法定代表人身份证明书</w:t>
      </w:r>
      <w:bookmarkEnd w:id="108"/>
      <w:bookmarkEnd w:id="109"/>
      <w:bookmarkEnd w:id="110"/>
      <w:bookmarkEnd w:id="111"/>
      <w:bookmarkEnd w:id="112"/>
    </w:p>
    <w:p>
      <w:pPr>
        <w:snapToGrid w:val="0"/>
        <w:spacing w:line="480" w:lineRule="auto"/>
        <w:rPr>
          <w:rFonts w:ascii="宋体" w:hAnsi="宋体"/>
          <w:szCs w:val="21"/>
        </w:rPr>
      </w:pP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59"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szCs w:val="21"/>
          <w:u w:val="single"/>
        </w:rPr>
        <w:t>谈判单位</w:t>
      </w:r>
      <w:r>
        <w:rPr>
          <w:rFonts w:hint="eastAsia" w:ascii="宋体" w:hAnsi="宋体" w:cs="宋体"/>
          <w:kern w:val="0"/>
          <w:szCs w:val="21"/>
          <w:u w:val="single"/>
        </w:rPr>
        <w:t xml:space="preserve">名称）    </w:t>
      </w:r>
      <w:r>
        <w:rPr>
          <w:rFonts w:hint="eastAsia" w:ascii="宋体" w:hAnsi="宋体" w:cs="宋体"/>
          <w:kern w:val="0"/>
          <w:szCs w:val="21"/>
        </w:rPr>
        <w:t>的法定代表人。</w:t>
      </w: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szCs w:val="21"/>
        </w:rPr>
      </w:pPr>
      <w:r>
        <w:rPr>
          <w:rFonts w:ascii="宋体" w:hAnsi="宋体"/>
          <w:szCs w:val="21"/>
        </w:rPr>
        <mc:AlternateContent>
          <mc:Choice Requires="wps">
            <w:drawing>
              <wp:anchor distT="0" distB="0" distL="114300" distR="114300" simplePos="0" relativeHeight="251666432"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4pt;margin-top:10.65pt;height:96.15pt;width:185.5pt;z-index:-251650048;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Bu9wfU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w68pdcAAAAKAQAADwAAAAAAAAABACAAAAAi&#10;AAAAZHJzL2Rvd25yZXYueG1sUEsBAhQAFAAAAAgAh07iQG73B9R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宋体" w:hAnsi="宋体"/>
          <w:szCs w:val="21"/>
        </w:rPr>
        <mc:AlternateContent>
          <mc:Choice Requires="wps">
            <w:drawing>
              <wp:anchor distT="0" distB="0" distL="114300" distR="114300" simplePos="0" relativeHeight="251664384"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2096;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b/>
          <w:szCs w:val="21"/>
        </w:rPr>
      </w:pPr>
      <w:r>
        <w:rPr>
          <w:rFonts w:ascii="宋体" w:hAnsi="宋体"/>
          <w:szCs w:val="21"/>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7pt;height:96.15pt;width:185.5pt;z-index:251665408;mso-width-relative:page;mso-height-relative:page;" fillcolor="#FFFFFF" filled="t" stroked="t" coordsize="21600,21600" o:gfxdata="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UhRWjYAAAACgEAAA8AAAAAAAAAAQAgAAAA&#10;IgAAAGRycy9kb3ducmV2LnhtbFBLAQIUABQAAAAIAIdO4kBzlQ+M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备注：上述证件复印件可另附页，另附页时，证件复印件均须加盖单位公章。</w:t>
      </w: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spacing w:line="360" w:lineRule="auto"/>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黑体" w:hAnsi="宋体" w:eastAsia="黑体"/>
          <w:b/>
          <w:sz w:val="32"/>
          <w:szCs w:val="32"/>
        </w:rPr>
      </w:pPr>
      <w:r>
        <w:rPr>
          <w:rFonts w:ascii="黑体" w:hAnsi="华文中宋" w:eastAsia="黑体"/>
          <w:bCs/>
          <w:sz w:val="24"/>
        </w:rPr>
        <w:br w:type="page"/>
      </w:r>
      <w:bookmarkStart w:id="113" w:name="_Toc27642"/>
      <w:bookmarkStart w:id="114" w:name="_Toc21066"/>
      <w:bookmarkStart w:id="115" w:name="_Toc29865"/>
      <w:bookmarkStart w:id="116" w:name="_Toc761"/>
      <w:bookmarkStart w:id="117" w:name="_Toc14170"/>
      <w:r>
        <w:rPr>
          <w:rFonts w:hint="eastAsia" w:ascii="宋体" w:hAnsi="宋体" w:cs="宋体"/>
          <w:b/>
          <w:sz w:val="32"/>
          <w:szCs w:val="32"/>
        </w:rPr>
        <w:t>三、授权委托书</w:t>
      </w:r>
      <w:bookmarkEnd w:id="113"/>
      <w:bookmarkEnd w:id="114"/>
      <w:bookmarkEnd w:id="115"/>
      <w:bookmarkEnd w:id="116"/>
      <w:bookmarkEnd w:id="117"/>
    </w:p>
    <w:p>
      <w:pPr>
        <w:adjustRightInd w:val="0"/>
        <w:snapToGrid w:val="0"/>
        <w:spacing w:line="360" w:lineRule="auto"/>
        <w:jc w:val="center"/>
        <w:rPr>
          <w:rFonts w:ascii="黑体" w:hAnsi="华文中宋" w:eastAsia="黑体"/>
          <w:b/>
          <w:sz w:val="28"/>
          <w:szCs w:val="28"/>
        </w:rPr>
      </w:pPr>
    </w:p>
    <w:p>
      <w:pPr>
        <w:autoSpaceDE w:val="0"/>
        <w:autoSpaceDN w:val="0"/>
        <w:adjustRightInd w:val="0"/>
        <w:snapToGrid w:val="0"/>
        <w:spacing w:before="159" w:beforeLines="50" w:line="360" w:lineRule="auto"/>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20" w:firstLineChars="200"/>
        <w:rPr>
          <w:rFonts w:ascii="宋体" w:hAnsi="宋体" w:cs="宋体"/>
          <w:kern w:val="0"/>
          <w:szCs w:val="21"/>
        </w:rPr>
      </w:pPr>
    </w:p>
    <w:p>
      <w:pPr>
        <w:pStyle w:val="16"/>
        <w:spacing w:line="360" w:lineRule="auto"/>
        <w:ind w:left="0" w:leftChars="0" w:firstLine="420" w:firstLineChars="200"/>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spacing w:line="360" w:lineRule="auto"/>
        <w:ind w:firstLine="420" w:firstLineChars="200"/>
        <w:rPr>
          <w:rFonts w:ascii="宋体" w:hAnsi="宋体" w:cs="宋体"/>
          <w:kern w:val="0"/>
          <w:szCs w:val="21"/>
        </w:rPr>
      </w:pPr>
    </w:p>
    <w:p>
      <w:pPr>
        <w:pStyle w:val="2"/>
        <w:spacing w:after="0" w:line="360" w:lineRule="auto"/>
        <w:ind w:left="0" w:leftChars="0" w:firstLineChars="200"/>
        <w:rPr>
          <w:rFonts w:ascii="宋体" w:hAnsi="宋体" w:cs="宋体"/>
          <w:szCs w:val="21"/>
        </w:rPr>
      </w:pPr>
      <w:r>
        <w:rPr>
          <w:rFonts w:hint="eastAsia" w:ascii="宋体" w:hAnsi="宋体" w:cs="宋体"/>
          <w:szCs w:val="21"/>
        </w:rPr>
        <w:t>委托期限：</w:t>
      </w:r>
      <w:r>
        <w:rPr>
          <w:rFonts w:hint="eastAsia" w:ascii="宋体" w:hAnsi="宋体" w:cs="宋体"/>
          <w:szCs w:val="21"/>
          <w:u w:val="single"/>
        </w:rPr>
        <w:t xml:space="preserve">  </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年</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月</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日</w:t>
      </w:r>
      <w:r>
        <w:rPr>
          <w:rFonts w:hint="eastAsia" w:ascii="宋体" w:hAnsi="宋体" w:cs="宋体"/>
          <w:szCs w:val="21"/>
        </w:rPr>
        <w:t>至</w:t>
      </w:r>
      <w:r>
        <w:rPr>
          <w:rFonts w:hint="eastAsia" w:ascii="宋体" w:hAnsi="宋体" w:cs="宋体"/>
          <w:szCs w:val="21"/>
          <w:u w:val="single"/>
        </w:rPr>
        <w:t xml:space="preserve">  </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年</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月</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日</w:t>
      </w:r>
    </w:p>
    <w:p>
      <w:pPr>
        <w:spacing w:line="360" w:lineRule="auto"/>
        <w:ind w:firstLine="420" w:firstLineChars="200"/>
        <w:rPr>
          <w:rFonts w:ascii="宋体" w:hAnsi="宋体" w:cs="宋体"/>
          <w:kern w:val="0"/>
          <w:szCs w:val="21"/>
        </w:rPr>
      </w:pPr>
      <w:r>
        <w:rPr>
          <w:rFonts w:hint="eastAsia" w:ascii="宋体" w:hAnsi="宋体" w:cs="宋体"/>
          <w:kern w:val="0"/>
          <w:szCs w:val="21"/>
        </w:rPr>
        <w:t>代理人无转委托权。</w:t>
      </w:r>
    </w:p>
    <w:p>
      <w:pPr>
        <w:spacing w:line="360" w:lineRule="auto"/>
        <w:rPr>
          <w:rFonts w:ascii="宋体" w:hAnsi="宋体"/>
          <w:szCs w:val="21"/>
        </w:rPr>
      </w:pPr>
      <w:r>
        <w:rPr>
          <w:rFonts w:ascii="宋体" w:hAnsi="宋体"/>
          <w:szCs w:val="21"/>
        </w:rPr>
        <mc:AlternateContent>
          <mc:Choice Requires="wps">
            <w:drawing>
              <wp:anchor distT="0" distB="0" distL="114300" distR="114300" simplePos="0" relativeHeight="251661312" behindDoc="1" locked="0" layoutInCell="1" allowOverlap="1">
                <wp:simplePos x="0" y="0"/>
                <wp:positionH relativeFrom="column">
                  <wp:posOffset>-121920</wp:posOffset>
                </wp:positionH>
                <wp:positionV relativeFrom="paragraph">
                  <wp:posOffset>293370</wp:posOffset>
                </wp:positionV>
                <wp:extent cx="1343025" cy="1221105"/>
                <wp:effectExtent l="0" t="0" r="28575" b="17145"/>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9.6pt;margin-top:23.1pt;height:96.15pt;width:105.75pt;z-index:-251655168;mso-width-relative:page;mso-height-relative:page;" fillcolor="#FFFFFF" filled="t" stroked="t" coordsize="21600,21600" o:gfxdata="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Wu70rZAAAACgEAAA8AAAAAAAAAAQAgAAAA&#10;IgAAAGRycy9kb3ducmV2LnhtbFBLAQIUABQAAAAIAIdO4kAEB7jXQwIAAJQEAAAOAAAAAAAAAAEA&#10;IAAAACg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p>
    <w:p>
      <w:pPr>
        <w:spacing w:line="360" w:lineRule="auto"/>
        <w:ind w:firstLine="435"/>
        <w:rPr>
          <w:rFonts w:ascii="宋体" w:hAnsi="宋体"/>
          <w:szCs w:val="21"/>
        </w:rPr>
      </w:pPr>
      <w:r>
        <w:rPr>
          <w:rFonts w:ascii="宋体" w:hAnsi="宋体"/>
          <w:szCs w:val="21"/>
        </w:rPr>
        <mc:AlternateContent>
          <mc:Choice Requires="wps">
            <w:drawing>
              <wp:anchor distT="0" distB="0" distL="114300" distR="114300" simplePos="0" relativeHeight="251664384" behindDoc="0" locked="0" layoutInCell="1" allowOverlap="1">
                <wp:simplePos x="0" y="0"/>
                <wp:positionH relativeFrom="column">
                  <wp:posOffset>3573780</wp:posOffset>
                </wp:positionH>
                <wp:positionV relativeFrom="paragraph">
                  <wp:posOffset>43180</wp:posOffset>
                </wp:positionV>
                <wp:extent cx="1511300" cy="1221105"/>
                <wp:effectExtent l="4445" t="4445" r="8255" b="12700"/>
                <wp:wrapNone/>
                <wp:docPr id="9" name="矩形 4"/>
                <wp:cNvGraphicFramePr/>
                <a:graphic xmlns:a="http://schemas.openxmlformats.org/drawingml/2006/main">
                  <a:graphicData uri="http://schemas.microsoft.com/office/word/2010/wordprocessingShape">
                    <wps:wsp>
                      <wps:cNvSpPr>
                        <a:spLocks noChangeArrowheads="1"/>
                      </wps:cNvSpPr>
                      <wps:spPr bwMode="auto">
                        <a:xfrm>
                          <a:off x="0" y="0"/>
                          <a:ext cx="151130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81.4pt;margin-top:3.4pt;height:96.15pt;width:119pt;z-index:251664384;mso-width-relative:page;mso-height-relative:page;" fillcolor="#FFFFFF" filled="t" stroked="t" coordsize="21600,21600" o:gfxdata="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hyqsrWAAAACQEAAA8AAAAAAAAAAQAgAAAAIgAA&#10;AGRycy9kb3ducmV2LnhtbFBLAQIUABQAAAAIAIdO4kB8oJUsQwIAAJQEAAAOAAAAAAAAAAEAIAAA&#10;ACUBAABkcnMvZTJvRG9jLnhtbFBLBQYAAAAABgAGAFkBAADa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r>
        <w:rPr>
          <w:rFonts w:ascii="宋体" w:hAnsi="宋体"/>
          <w:szCs w:val="21"/>
        </w:rPr>
        <mc:AlternateContent>
          <mc:Choice Requires="wps">
            <w:drawing>
              <wp:anchor distT="0" distB="0" distL="114300" distR="114300" simplePos="0" relativeHeight="251662336" behindDoc="1" locked="0" layoutInCell="1" allowOverlap="1">
                <wp:simplePos x="0" y="0"/>
                <wp:positionH relativeFrom="column">
                  <wp:posOffset>1697355</wp:posOffset>
                </wp:positionH>
                <wp:positionV relativeFrom="paragraph">
                  <wp:posOffset>33655</wp:posOffset>
                </wp:positionV>
                <wp:extent cx="1450340" cy="1221105"/>
                <wp:effectExtent l="4445" t="4445" r="12065" b="12700"/>
                <wp:wrapNone/>
                <wp:docPr id="7" name="矩形 4"/>
                <wp:cNvGraphicFramePr/>
                <a:graphic xmlns:a="http://schemas.openxmlformats.org/drawingml/2006/main">
                  <a:graphicData uri="http://schemas.microsoft.com/office/word/2010/wordprocessingShape">
                    <wps:wsp>
                      <wps:cNvSpPr>
                        <a:spLocks noChangeArrowheads="1"/>
                      </wps:cNvSpPr>
                      <wps:spPr bwMode="auto">
                        <a:xfrm>
                          <a:off x="0" y="0"/>
                          <a:ext cx="145034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133.65pt;margin-top:2.65pt;height:96.15pt;width:114.2pt;z-index:-251654144;mso-width-relative:page;mso-height-relative:page;" fillcolor="#FFFFFF" filled="t" stroked="t" coordsize="21600,21600" o:gfxdata="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SgMVbYAAAACQEAAA8AAAAAAAAAAQAgAAAA&#10;IgAAAGRycy9kb3ducmV2LnhtbFBLAQIUABQAAAAIAIdO4kCHImU+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pStyle w:val="16"/>
        <w:ind w:left="0" w:leftChars="0"/>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ascii="宋体" w:hAnsi="宋体" w:cs="宋体"/>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法定代表人（亲笔签字）：</w:t>
      </w:r>
      <w:r>
        <w:rPr>
          <w:rFonts w:hint="eastAsia" w:ascii="宋体" w:hAnsi="宋体" w:cs="宋体"/>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委托代理人（亲笔签字）：</w:t>
      </w:r>
      <w:r>
        <w:rPr>
          <w:rFonts w:hint="eastAsia" w:ascii="宋体" w:hAnsi="宋体" w:cs="宋体"/>
          <w:u w:val="single"/>
        </w:rPr>
        <w:t xml:space="preserve">                      </w:t>
      </w:r>
    </w:p>
    <w:p>
      <w:pPr>
        <w:spacing w:line="360" w:lineRule="auto"/>
        <w:rPr>
          <w:rFonts w:ascii="宋体" w:hAnsi="宋体"/>
          <w:szCs w:val="21"/>
        </w:rPr>
        <w:sectPr>
          <w:pgSz w:w="11906" w:h="16838"/>
          <w:pgMar w:top="2098" w:right="1474" w:bottom="1984" w:left="1587" w:header="851" w:footer="992" w:gutter="0"/>
          <w:pgNumType w:fmt="decimal"/>
          <w:cols w:space="0" w:num="1"/>
          <w:docGrid w:type="lines" w:linePitch="319"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宋体" w:hAnsi="宋体" w:cs="宋体"/>
          <w:b/>
          <w:sz w:val="32"/>
          <w:szCs w:val="32"/>
        </w:rPr>
      </w:pPr>
      <w:bookmarkStart w:id="118" w:name="_Toc8191"/>
      <w:bookmarkStart w:id="119" w:name="_Toc16519"/>
      <w:bookmarkStart w:id="120" w:name="_Toc2295"/>
      <w:bookmarkStart w:id="121" w:name="_Toc11357"/>
      <w:bookmarkStart w:id="122" w:name="_Toc18944"/>
      <w:r>
        <w:rPr>
          <w:rFonts w:hint="eastAsia" w:ascii="宋体" w:hAnsi="宋体" w:cs="宋体"/>
          <w:b/>
          <w:sz w:val="32"/>
          <w:szCs w:val="32"/>
        </w:rPr>
        <w:t>四、谈判单位资格证明文件</w:t>
      </w:r>
      <w:bookmarkEnd w:id="118"/>
      <w:bookmarkEnd w:id="119"/>
      <w:bookmarkEnd w:id="120"/>
      <w:bookmarkEnd w:id="121"/>
      <w:bookmarkEnd w:id="122"/>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仿宋" w:hAnsi="仿宋" w:eastAsia="仿宋"/>
          <w:bCs/>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bCs/>
          <w:szCs w:val="21"/>
          <w:highlight w:val="cyan"/>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w:t>
      </w:r>
      <w:r>
        <w:rPr>
          <w:rStyle w:val="56"/>
          <w:rFonts w:hint="eastAsia"/>
          <w:b/>
          <w:bCs/>
          <w:color w:val="auto"/>
          <w:u w:val="none"/>
          <w:shd w:val="clear" w:color="auto" w:fill="FFFFFF"/>
        </w:rPr>
        <w:t>原件扫描件打印版</w:t>
      </w:r>
      <w:r>
        <w:rPr>
          <w:rFonts w:hint="eastAsia" w:ascii="宋体" w:hAnsi="宋体"/>
          <w:bCs/>
          <w:szCs w:val="21"/>
        </w:rPr>
        <w:t>：</w:t>
      </w:r>
    </w:p>
    <w:p>
      <w:pPr>
        <w:keepNext w:val="0"/>
        <w:keepLines w:val="0"/>
        <w:pageBreakBefore w:val="0"/>
        <w:widowControl w:val="0"/>
        <w:numPr>
          <w:ilvl w:val="0"/>
          <w:numId w:val="17"/>
        </w:numPr>
        <w:kinsoku/>
        <w:wordWrap/>
        <w:overflowPunct/>
        <w:topLinePunct w:val="0"/>
        <w:autoSpaceDE/>
        <w:autoSpaceDN/>
        <w:bidi w:val="0"/>
        <w:spacing w:line="360" w:lineRule="auto"/>
        <w:ind w:left="0" w:leftChars="0" w:firstLine="420" w:firstLineChars="200"/>
        <w:textAlignment w:val="auto"/>
        <w:rPr>
          <w:rFonts w:ascii="宋体" w:hAnsi="宋体" w:cs="宋体"/>
          <w:color w:val="000000"/>
        </w:rPr>
      </w:pPr>
      <w:r>
        <w:rPr>
          <w:rFonts w:hint="eastAsia" w:ascii="宋体" w:hAnsi="宋体" w:cs="宋体"/>
          <w:color w:val="000000"/>
          <w:lang w:val="en-US" w:eastAsia="zh-CN"/>
        </w:rPr>
        <w:t>须</w:t>
      </w:r>
      <w:r>
        <w:rPr>
          <w:rFonts w:hint="eastAsia" w:ascii="宋体" w:hAnsi="宋体" w:cs="宋体"/>
          <w:color w:val="000000"/>
        </w:rPr>
        <w:t>提供谈判单位营业执照/事业单位法人证书</w:t>
      </w:r>
      <w:r>
        <w:rPr>
          <w:rFonts w:hint="eastAsia" w:ascii="宋体" w:hAnsi="宋体" w:cs="宋体"/>
          <w:color w:val="000000"/>
          <w:lang w:eastAsia="zh-CN"/>
        </w:rPr>
        <w:t>，</w:t>
      </w:r>
      <w:r>
        <w:rPr>
          <w:rFonts w:hint="eastAsia" w:ascii="宋体" w:hAnsi="宋体" w:cs="宋体"/>
          <w:color w:val="000000"/>
          <w:highlight w:val="none"/>
          <w:lang w:eastAsia="zh-CN"/>
        </w:rPr>
        <w:t>且在有效期内。</w:t>
      </w:r>
    </w:p>
    <w:p>
      <w:pPr>
        <w:keepNext w:val="0"/>
        <w:keepLines w:val="0"/>
        <w:pageBreakBefore w:val="0"/>
        <w:widowControl w:val="0"/>
        <w:numPr>
          <w:ilvl w:val="0"/>
          <w:numId w:val="17"/>
        </w:numPr>
        <w:kinsoku/>
        <w:wordWrap/>
        <w:overflowPunct/>
        <w:topLinePunct w:val="0"/>
        <w:autoSpaceDE/>
        <w:autoSpaceDN/>
        <w:bidi w:val="0"/>
        <w:spacing w:line="360" w:lineRule="auto"/>
        <w:ind w:left="0" w:leftChars="0" w:firstLine="420" w:firstLineChars="200"/>
        <w:textAlignment w:val="auto"/>
        <w:rPr>
          <w:rFonts w:ascii="宋体" w:hAnsi="宋体" w:cs="宋体"/>
          <w:color w:val="000000"/>
        </w:rPr>
      </w:pPr>
      <w:r>
        <w:rPr>
          <w:rFonts w:hint="eastAsia" w:ascii="宋体" w:hAnsi="宋体" w:cs="宋体"/>
          <w:color w:val="000000"/>
          <w:lang w:val="en-US" w:eastAsia="zh-CN"/>
        </w:rPr>
        <w:t>须</w:t>
      </w:r>
      <w:r>
        <w:rPr>
          <w:rFonts w:hint="eastAsia" w:ascii="宋体" w:hAnsi="宋体" w:cs="宋体"/>
          <w:color w:val="000000"/>
        </w:rPr>
        <w:t>提供在本项目谈判截止之日前</w:t>
      </w:r>
      <w:r>
        <w:rPr>
          <w:rFonts w:hint="eastAsia" w:ascii="宋体" w:hAnsi="宋体" w:cs="宋体"/>
          <w:color w:val="000000"/>
          <w:highlight w:val="none"/>
          <w:lang w:val="en-US" w:eastAsia="zh-CN"/>
        </w:rPr>
        <w:t>36个月内的造价咨询业绩。不接受联合体业绩、港澳台或境外业绩。</w:t>
      </w:r>
    </w:p>
    <w:p>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业绩证明材料以同时提供的合同原件扫描件和可查验的增值税发票（开票金额不少于合同金额的10%）原件扫描件为准（均须加盖谈判单位公章），时间以合同中甲方签订时间为准。</w:t>
      </w:r>
    </w:p>
    <w:p>
      <w:pPr>
        <w:keepNext w:val="0"/>
        <w:keepLines w:val="0"/>
        <w:pageBreakBefore w:val="0"/>
        <w:widowControl w:val="0"/>
        <w:numPr>
          <w:ilvl w:val="0"/>
          <w:numId w:val="17"/>
        </w:numPr>
        <w:kinsoku/>
        <w:wordWrap/>
        <w:overflowPunct/>
        <w:topLinePunct w:val="0"/>
        <w:autoSpaceDE/>
        <w:autoSpaceDN/>
        <w:bidi w:val="0"/>
        <w:spacing w:line="360" w:lineRule="auto"/>
        <w:ind w:left="0" w:leftChars="0" w:firstLine="420" w:firstLineChars="200"/>
        <w:textAlignment w:val="auto"/>
        <w:rPr>
          <w:rFonts w:ascii="宋体" w:hAnsi="宋体" w:cs="宋体"/>
          <w:color w:val="000000"/>
        </w:rPr>
      </w:pPr>
      <w:r>
        <w:rPr>
          <w:rFonts w:hint="eastAsia" w:ascii="宋体" w:hAnsi="宋体" w:cs="宋体"/>
          <w:color w:val="000000"/>
          <w:lang w:val="en-US" w:eastAsia="zh-CN"/>
        </w:rPr>
        <w:t>须</w:t>
      </w:r>
      <w:r>
        <w:rPr>
          <w:rFonts w:hint="eastAsia" w:ascii="宋体" w:hAnsi="宋体" w:cs="宋体"/>
          <w:color w:val="000000"/>
        </w:rPr>
        <w:t>提供项目负责人</w:t>
      </w:r>
      <w:r>
        <w:rPr>
          <w:rFonts w:hint="eastAsia" w:ascii="宋体" w:hAnsi="宋体" w:eastAsia="宋体" w:cs="宋体"/>
          <w:sz w:val="21"/>
          <w:szCs w:val="21"/>
          <w:highlight w:val="none"/>
          <w:lang w:val="en-US" w:eastAsia="zh-CN"/>
        </w:rPr>
        <w:t>在本项目谈判截止之日前36个月内至少1项类似项目业绩，提供注册咨询师或注册监理工程师或注册设备监理师执业证书，且证书合格、有效。</w:t>
      </w:r>
    </w:p>
    <w:p>
      <w:pPr>
        <w:keepNext w:val="0"/>
        <w:keepLines w:val="0"/>
        <w:pageBreakBefore w:val="0"/>
        <w:widowControl w:val="0"/>
        <w:numPr>
          <w:ilvl w:val="0"/>
          <w:numId w:val="17"/>
        </w:numPr>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须提供</w:t>
      </w:r>
      <w:r>
        <w:rPr>
          <w:rFonts w:hint="eastAsia" w:ascii="宋体" w:hAnsi="宋体" w:eastAsia="宋体" w:cs="宋体"/>
          <w:sz w:val="21"/>
          <w:szCs w:val="21"/>
          <w:highlight w:val="none"/>
          <w:lang w:eastAsia="zh-CN"/>
        </w:rPr>
        <w:t>专业人员</w:t>
      </w:r>
      <w:r>
        <w:rPr>
          <w:rFonts w:hint="eastAsia" w:ascii="宋体" w:hAnsi="宋体" w:eastAsia="宋体" w:cs="宋体"/>
          <w:color w:val="000000"/>
          <w:lang w:val="en-US" w:eastAsia="zh-CN"/>
        </w:rPr>
        <w:t>中级工程师证（车辆方向）及以上，且证书合格、有效。</w:t>
      </w:r>
    </w:p>
    <w:p>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ascii="宋体" w:hAnsi="宋体" w:cs="宋体"/>
        </w:rPr>
      </w:pPr>
      <w:r>
        <w:rPr>
          <w:rFonts w:hint="eastAsia" w:ascii="宋体" w:hAnsi="宋体" w:cs="宋体"/>
          <w:lang w:val="en-US" w:eastAsia="zh-CN"/>
        </w:rPr>
        <w:t>5</w:t>
      </w:r>
      <w:r>
        <w:rPr>
          <w:rFonts w:hint="eastAsia" w:ascii="宋体" w:hAnsi="宋体" w:cs="宋体"/>
        </w:rPr>
        <w:t>.谈判单位认为与本项目资格条件有关的其它证明文件（如有，格式自拟）。</w:t>
      </w:r>
    </w:p>
    <w:p>
      <w:pPr>
        <w:pStyle w:val="16"/>
        <w:keepNext w:val="0"/>
        <w:keepLines w:val="0"/>
        <w:pageBreakBefore w:val="0"/>
        <w:widowControl w:val="0"/>
        <w:kinsoku/>
        <w:wordWrap/>
        <w:overflowPunct/>
        <w:topLinePunct w:val="0"/>
        <w:autoSpaceDE/>
        <w:autoSpaceDN/>
        <w:bidi w:val="0"/>
        <w:spacing w:line="360" w:lineRule="auto"/>
        <w:ind w:left="0" w:leftChars="0"/>
        <w:textAlignment w:val="auto"/>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ascii="宋体" w:hAnsi="宋体"/>
          <w:b/>
          <w:bCs/>
          <w:szCs w:val="21"/>
        </w:rPr>
      </w:pPr>
      <w:r>
        <w:rPr>
          <w:rFonts w:hint="eastAsia" w:ascii="宋体" w:hAnsi="宋体"/>
          <w:b/>
          <w:bCs/>
          <w:szCs w:val="21"/>
        </w:rPr>
        <w:t>备注：上述证明文件扫描件打印版均须加盖谈判单位公章。</w:t>
      </w:r>
    </w:p>
    <w:p>
      <w:pPr>
        <w:pStyle w:val="16"/>
        <w:keepNext w:val="0"/>
        <w:keepLines w:val="0"/>
        <w:pageBreakBefore w:val="0"/>
        <w:widowControl w:val="0"/>
        <w:kinsoku/>
        <w:wordWrap/>
        <w:overflowPunct/>
        <w:topLinePunct w:val="0"/>
        <w:autoSpaceDE/>
        <w:autoSpaceDN/>
        <w:bidi w:val="0"/>
        <w:spacing w:line="360" w:lineRule="auto"/>
        <w:ind w:left="0" w:leftChars="0"/>
        <w:textAlignment w:val="auto"/>
      </w:pPr>
    </w:p>
    <w:p/>
    <w:p>
      <w:pPr>
        <w:pStyle w:val="2"/>
      </w:pPr>
    </w:p>
    <w:p>
      <w:pPr>
        <w:pStyle w:val="2"/>
        <w:sectPr>
          <w:pgSz w:w="11906" w:h="16838"/>
          <w:pgMar w:top="2098" w:right="1474" w:bottom="1984" w:left="1587" w:header="851" w:footer="992" w:gutter="0"/>
          <w:pgNumType w:fmt="decimal"/>
          <w:cols w:space="720" w:num="1"/>
          <w:docGrid w:type="lines" w:linePitch="319" w:charSpace="0"/>
        </w:sectPr>
      </w:pPr>
    </w:p>
    <w:p>
      <w:pPr>
        <w:spacing w:line="360" w:lineRule="auto"/>
        <w:jc w:val="center"/>
        <w:rPr>
          <w:rFonts w:ascii="黑体" w:hAnsi="宋体" w:eastAsia="黑体"/>
          <w:bCs/>
          <w:sz w:val="32"/>
          <w:szCs w:val="32"/>
        </w:rPr>
      </w:pPr>
      <w:r>
        <w:rPr>
          <w:rFonts w:hint="eastAsia" w:ascii="黑体" w:hAnsi="宋体" w:eastAsia="黑体"/>
          <w:bCs/>
          <w:sz w:val="32"/>
          <w:szCs w:val="32"/>
        </w:rPr>
        <w:t>业绩合同扫描件</w:t>
      </w:r>
    </w:p>
    <w:p>
      <w:pPr>
        <w:pStyle w:val="2"/>
        <w:spacing w:after="0" w:line="360" w:lineRule="auto"/>
        <w:ind w:left="0" w:leftChars="0" w:firstLine="0"/>
        <w:jc w:val="both"/>
        <w:rPr>
          <w:rStyle w:val="56"/>
          <w:rFonts w:ascii="Times New Roman" w:hAnsi="Times New Roman" w:cs="Times New Roman"/>
          <w:color w:val="auto"/>
          <w:u w:val="none"/>
          <w:shd w:val="clear" w:color="auto" w:fill="FFFFFF"/>
        </w:rPr>
      </w:pPr>
    </w:p>
    <w:tbl>
      <w:tblPr>
        <w:tblStyle w:val="47"/>
        <w:tblW w:w="9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670"/>
        <w:gridCol w:w="1470"/>
        <w:gridCol w:w="1340"/>
        <w:gridCol w:w="1540"/>
        <w:gridCol w:w="1290"/>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338" w:type="dxa"/>
            <w:gridSpan w:val="7"/>
            <w:tcBorders>
              <w:top w:val="single" w:color="auto" w:sz="8" w:space="0"/>
              <w:left w:val="single" w:color="auto" w:sz="8" w:space="0"/>
              <w:right w:val="single" w:color="auto" w:sz="8" w:space="0"/>
            </w:tcBorders>
            <w:vAlign w:val="center"/>
          </w:tcPr>
          <w:p>
            <w:pPr>
              <w:spacing w:line="360" w:lineRule="auto"/>
              <w:jc w:val="center"/>
              <w:rPr>
                <w:rFonts w:hAnsi="宋体" w:cs="宋体"/>
                <w:szCs w:val="21"/>
              </w:rPr>
            </w:pPr>
            <w:r>
              <w:rPr>
                <w:rFonts w:hint="eastAsia" w:ascii="黑体" w:hAnsi="黑体" w:eastAsia="黑体" w:cs="黑体"/>
                <w:bCs/>
                <w:sz w:val="28"/>
                <w:szCs w:val="28"/>
              </w:rPr>
              <w:t>谈判单位合同业绩情况汇总表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58"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项目名称</w:t>
            </w:r>
          </w:p>
        </w:tc>
        <w:tc>
          <w:tcPr>
            <w:tcW w:w="1670"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采购人名称</w:t>
            </w:r>
          </w:p>
        </w:tc>
        <w:tc>
          <w:tcPr>
            <w:tcW w:w="1470" w:type="dxa"/>
            <w:tcBorders>
              <w:left w:val="single" w:color="auto" w:sz="8" w:space="0"/>
              <w:right w:val="single" w:color="auto" w:sz="8" w:space="0"/>
            </w:tcBorders>
            <w:vAlign w:val="center"/>
          </w:tcPr>
          <w:p>
            <w:pPr>
              <w:jc w:val="center"/>
              <w:rPr>
                <w:rFonts w:hint="eastAsia" w:hAnsi="宋体" w:cs="宋体"/>
                <w:b/>
                <w:bCs/>
                <w:szCs w:val="21"/>
              </w:rPr>
            </w:pPr>
            <w:r>
              <w:rPr>
                <w:rFonts w:hint="eastAsia" w:hAnsi="宋体" w:cs="宋体"/>
                <w:b/>
                <w:bCs/>
                <w:szCs w:val="21"/>
              </w:rPr>
              <w:t>合同金额</w:t>
            </w:r>
          </w:p>
          <w:p>
            <w:pPr>
              <w:jc w:val="center"/>
              <w:rPr>
                <w:rFonts w:hAnsi="宋体" w:cs="宋体"/>
                <w:b/>
                <w:bCs/>
                <w:szCs w:val="21"/>
              </w:rPr>
            </w:pPr>
            <w:r>
              <w:rPr>
                <w:rFonts w:hint="eastAsia" w:hAnsi="宋体" w:cs="宋体"/>
                <w:b/>
                <w:bCs/>
                <w:szCs w:val="21"/>
              </w:rPr>
              <w:t>（总金额）</w:t>
            </w:r>
          </w:p>
        </w:tc>
        <w:tc>
          <w:tcPr>
            <w:tcW w:w="1340"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服务期限</w:t>
            </w:r>
          </w:p>
        </w:tc>
        <w:tc>
          <w:tcPr>
            <w:tcW w:w="1540"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合同签订</w:t>
            </w:r>
          </w:p>
          <w:p>
            <w:pPr>
              <w:jc w:val="center"/>
              <w:rPr>
                <w:rFonts w:hAnsi="宋体" w:cs="宋体"/>
                <w:b/>
                <w:bCs/>
                <w:szCs w:val="21"/>
              </w:rPr>
            </w:pPr>
            <w:r>
              <w:rPr>
                <w:rFonts w:hint="eastAsia" w:hAnsi="宋体" w:cs="宋体"/>
                <w:b/>
                <w:bCs/>
                <w:szCs w:val="21"/>
              </w:rPr>
              <w:t>时间</w:t>
            </w:r>
          </w:p>
        </w:tc>
        <w:tc>
          <w:tcPr>
            <w:tcW w:w="1290"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甲方单位</w:t>
            </w:r>
          </w:p>
          <w:p>
            <w:pPr>
              <w:jc w:val="center"/>
              <w:rPr>
                <w:rFonts w:hAnsi="宋体" w:cs="宋体"/>
                <w:b/>
                <w:bCs/>
                <w:szCs w:val="21"/>
              </w:rPr>
            </w:pPr>
            <w:r>
              <w:rPr>
                <w:rFonts w:hint="eastAsia" w:hAnsi="宋体" w:cs="宋体"/>
                <w:b/>
                <w:bCs/>
                <w:szCs w:val="21"/>
              </w:rPr>
              <w:t>及联系方式</w:t>
            </w:r>
          </w:p>
        </w:tc>
        <w:tc>
          <w:tcPr>
            <w:tcW w:w="870" w:type="dxa"/>
            <w:tcBorders>
              <w:left w:val="single" w:color="auto" w:sz="8" w:space="0"/>
              <w:right w:val="single" w:color="auto" w:sz="8" w:space="0"/>
            </w:tcBorders>
            <w:vAlign w:val="center"/>
          </w:tcPr>
          <w:p>
            <w:pPr>
              <w:jc w:val="center"/>
              <w:rPr>
                <w:rFonts w:hAnsi="宋体" w:cs="宋体"/>
                <w:b/>
                <w:bCs/>
                <w:szCs w:val="21"/>
              </w:rPr>
            </w:pPr>
            <w:r>
              <w:rPr>
                <w:rFonts w:hint="eastAsia"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58" w:type="dxa"/>
            <w:tcBorders>
              <w:left w:val="single" w:color="auto" w:sz="8" w:space="0"/>
              <w:right w:val="single" w:color="auto" w:sz="8" w:space="0"/>
            </w:tcBorders>
            <w:vAlign w:val="center"/>
          </w:tcPr>
          <w:p>
            <w:pPr>
              <w:spacing w:line="360" w:lineRule="auto"/>
              <w:jc w:val="center"/>
              <w:rPr>
                <w:rFonts w:hAnsi="宋体" w:cs="宋体"/>
                <w:szCs w:val="21"/>
              </w:rPr>
            </w:pPr>
          </w:p>
        </w:tc>
        <w:tc>
          <w:tcPr>
            <w:tcW w:w="1670" w:type="dxa"/>
            <w:tcBorders>
              <w:left w:val="single" w:color="auto" w:sz="8" w:space="0"/>
              <w:right w:val="single" w:color="auto" w:sz="8" w:space="0"/>
            </w:tcBorders>
          </w:tcPr>
          <w:p>
            <w:pPr>
              <w:spacing w:line="360" w:lineRule="auto"/>
              <w:jc w:val="center"/>
              <w:rPr>
                <w:rFonts w:hAnsi="宋体" w:cs="宋体"/>
                <w:szCs w:val="21"/>
              </w:rPr>
            </w:pPr>
          </w:p>
        </w:tc>
        <w:tc>
          <w:tcPr>
            <w:tcW w:w="1470" w:type="dxa"/>
            <w:tcBorders>
              <w:left w:val="single" w:color="auto" w:sz="8" w:space="0"/>
              <w:right w:val="single" w:color="auto" w:sz="8" w:space="0"/>
            </w:tcBorders>
            <w:vAlign w:val="center"/>
          </w:tcPr>
          <w:p>
            <w:pPr>
              <w:spacing w:line="360" w:lineRule="auto"/>
              <w:jc w:val="center"/>
              <w:rPr>
                <w:rFonts w:hAnsi="宋体" w:cs="宋体"/>
                <w:szCs w:val="21"/>
              </w:rPr>
            </w:pPr>
          </w:p>
        </w:tc>
        <w:tc>
          <w:tcPr>
            <w:tcW w:w="1340" w:type="dxa"/>
            <w:tcBorders>
              <w:left w:val="single" w:color="auto" w:sz="8" w:space="0"/>
              <w:right w:val="single" w:color="auto" w:sz="8" w:space="0"/>
            </w:tcBorders>
          </w:tcPr>
          <w:p>
            <w:pPr>
              <w:spacing w:line="360" w:lineRule="auto"/>
              <w:jc w:val="center"/>
              <w:rPr>
                <w:rFonts w:hAnsi="宋体" w:cs="宋体"/>
                <w:szCs w:val="21"/>
              </w:rPr>
            </w:pPr>
          </w:p>
        </w:tc>
        <w:tc>
          <w:tcPr>
            <w:tcW w:w="1540" w:type="dxa"/>
            <w:tcBorders>
              <w:left w:val="single" w:color="auto" w:sz="8" w:space="0"/>
              <w:right w:val="single" w:color="auto" w:sz="8" w:space="0"/>
            </w:tcBorders>
            <w:vAlign w:val="center"/>
          </w:tcPr>
          <w:p>
            <w:pPr>
              <w:spacing w:line="360" w:lineRule="auto"/>
              <w:jc w:val="center"/>
              <w:rPr>
                <w:rFonts w:hAnsi="宋体" w:cs="宋体"/>
                <w:szCs w:val="21"/>
              </w:rPr>
            </w:pPr>
          </w:p>
        </w:tc>
        <w:tc>
          <w:tcPr>
            <w:tcW w:w="1290" w:type="dxa"/>
            <w:tcBorders>
              <w:left w:val="single" w:color="auto" w:sz="8" w:space="0"/>
              <w:right w:val="single" w:color="auto" w:sz="8" w:space="0"/>
            </w:tcBorders>
            <w:vAlign w:val="center"/>
          </w:tcPr>
          <w:p>
            <w:pPr>
              <w:spacing w:line="360" w:lineRule="auto"/>
              <w:jc w:val="center"/>
              <w:rPr>
                <w:rFonts w:hAnsi="宋体" w:cs="宋体"/>
                <w:szCs w:val="21"/>
              </w:rPr>
            </w:pPr>
          </w:p>
        </w:tc>
        <w:tc>
          <w:tcPr>
            <w:tcW w:w="870" w:type="dxa"/>
            <w:tcBorders>
              <w:left w:val="single" w:color="auto" w:sz="8" w:space="0"/>
              <w:right w:val="single" w:color="auto" w:sz="8" w:space="0"/>
            </w:tcBorders>
          </w:tcPr>
          <w:p>
            <w:pPr>
              <w:spacing w:line="360" w:lineRule="auto"/>
              <w:jc w:val="cente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158" w:type="dxa"/>
            <w:tcBorders>
              <w:left w:val="single" w:color="auto" w:sz="8" w:space="0"/>
              <w:bottom w:val="single" w:color="auto" w:sz="8" w:space="0"/>
              <w:right w:val="single" w:color="auto" w:sz="8" w:space="0"/>
            </w:tcBorders>
            <w:vAlign w:val="center"/>
          </w:tcPr>
          <w:p>
            <w:pPr>
              <w:spacing w:line="360" w:lineRule="auto"/>
              <w:jc w:val="center"/>
              <w:rPr>
                <w:rFonts w:hAnsi="宋体" w:cs="宋体"/>
                <w:szCs w:val="21"/>
              </w:rPr>
            </w:pPr>
          </w:p>
        </w:tc>
        <w:tc>
          <w:tcPr>
            <w:tcW w:w="1670" w:type="dxa"/>
            <w:tcBorders>
              <w:left w:val="single" w:color="auto" w:sz="8" w:space="0"/>
              <w:bottom w:val="single" w:color="auto" w:sz="8" w:space="0"/>
              <w:right w:val="single" w:color="auto" w:sz="8" w:space="0"/>
            </w:tcBorders>
          </w:tcPr>
          <w:p>
            <w:pPr>
              <w:spacing w:line="360" w:lineRule="auto"/>
              <w:jc w:val="center"/>
              <w:rPr>
                <w:rFonts w:hAnsi="宋体" w:cs="宋体"/>
                <w:szCs w:val="21"/>
              </w:rPr>
            </w:pPr>
          </w:p>
        </w:tc>
        <w:tc>
          <w:tcPr>
            <w:tcW w:w="1470" w:type="dxa"/>
            <w:tcBorders>
              <w:left w:val="single" w:color="auto" w:sz="8" w:space="0"/>
              <w:bottom w:val="single" w:color="auto" w:sz="8" w:space="0"/>
              <w:right w:val="single" w:color="auto" w:sz="8" w:space="0"/>
            </w:tcBorders>
            <w:vAlign w:val="center"/>
          </w:tcPr>
          <w:p>
            <w:pPr>
              <w:spacing w:line="360" w:lineRule="auto"/>
              <w:jc w:val="center"/>
              <w:rPr>
                <w:rFonts w:hAnsi="宋体" w:cs="宋体"/>
                <w:szCs w:val="21"/>
              </w:rPr>
            </w:pPr>
          </w:p>
        </w:tc>
        <w:tc>
          <w:tcPr>
            <w:tcW w:w="1340" w:type="dxa"/>
            <w:tcBorders>
              <w:left w:val="single" w:color="auto" w:sz="8" w:space="0"/>
              <w:bottom w:val="single" w:color="auto" w:sz="8" w:space="0"/>
              <w:right w:val="single" w:color="auto" w:sz="8" w:space="0"/>
            </w:tcBorders>
          </w:tcPr>
          <w:p>
            <w:pPr>
              <w:spacing w:line="360" w:lineRule="auto"/>
              <w:jc w:val="center"/>
              <w:rPr>
                <w:rFonts w:hAnsi="宋体" w:cs="宋体"/>
                <w:szCs w:val="21"/>
              </w:rPr>
            </w:pPr>
          </w:p>
        </w:tc>
        <w:tc>
          <w:tcPr>
            <w:tcW w:w="1540" w:type="dxa"/>
            <w:tcBorders>
              <w:left w:val="single" w:color="auto" w:sz="8" w:space="0"/>
              <w:bottom w:val="single" w:color="auto" w:sz="8" w:space="0"/>
              <w:right w:val="single" w:color="auto" w:sz="8" w:space="0"/>
            </w:tcBorders>
            <w:vAlign w:val="center"/>
          </w:tcPr>
          <w:p>
            <w:pPr>
              <w:spacing w:line="360" w:lineRule="auto"/>
              <w:jc w:val="center"/>
              <w:rPr>
                <w:rFonts w:hAnsi="宋体" w:cs="宋体"/>
                <w:szCs w:val="21"/>
              </w:rPr>
            </w:pPr>
          </w:p>
        </w:tc>
        <w:tc>
          <w:tcPr>
            <w:tcW w:w="1290" w:type="dxa"/>
            <w:tcBorders>
              <w:left w:val="single" w:color="auto" w:sz="8" w:space="0"/>
              <w:bottom w:val="single" w:color="auto" w:sz="8" w:space="0"/>
              <w:right w:val="single" w:color="auto" w:sz="8" w:space="0"/>
            </w:tcBorders>
            <w:vAlign w:val="center"/>
          </w:tcPr>
          <w:p>
            <w:pPr>
              <w:spacing w:line="360" w:lineRule="auto"/>
              <w:jc w:val="center"/>
              <w:rPr>
                <w:rFonts w:hAnsi="宋体" w:cs="宋体"/>
                <w:szCs w:val="21"/>
              </w:rPr>
            </w:pPr>
          </w:p>
        </w:tc>
        <w:tc>
          <w:tcPr>
            <w:tcW w:w="870" w:type="dxa"/>
            <w:tcBorders>
              <w:left w:val="single" w:color="auto" w:sz="8" w:space="0"/>
              <w:bottom w:val="single" w:color="auto" w:sz="8" w:space="0"/>
              <w:right w:val="single" w:color="auto" w:sz="8" w:space="0"/>
            </w:tcBorders>
          </w:tcPr>
          <w:p>
            <w:pPr>
              <w:spacing w:line="360" w:lineRule="auto"/>
              <w:jc w:val="center"/>
              <w:rPr>
                <w:rFonts w:hAnsi="宋体" w:cs="宋体"/>
                <w:szCs w:val="21"/>
              </w:rPr>
            </w:pPr>
          </w:p>
        </w:tc>
      </w:tr>
    </w:tbl>
    <w:p>
      <w:pPr>
        <w:pStyle w:val="2"/>
        <w:spacing w:after="0" w:line="360" w:lineRule="auto"/>
        <w:ind w:left="0" w:leftChars="0" w:firstLine="0"/>
        <w:jc w:val="both"/>
        <w:rPr>
          <w:rStyle w:val="56"/>
          <w:rFonts w:ascii="Times New Roman" w:hAnsi="Times New Roman" w:cs="Times New Roman"/>
          <w:color w:val="auto"/>
          <w:u w:val="none"/>
          <w:shd w:val="clear" w:color="auto" w:fill="FFFFFF"/>
        </w:rPr>
      </w:pPr>
    </w:p>
    <w:p>
      <w:pPr>
        <w:pStyle w:val="2"/>
        <w:spacing w:after="0" w:line="360" w:lineRule="auto"/>
        <w:ind w:left="0" w:leftChars="0" w:firstLine="0"/>
        <w:jc w:val="both"/>
        <w:rPr>
          <w:rStyle w:val="56"/>
          <w:rFonts w:ascii="Times New Roman" w:hAnsi="Times New Roman" w:cs="Times New Roman"/>
          <w:color w:val="auto"/>
          <w:u w:val="none"/>
          <w:shd w:val="clear" w:color="auto" w:fill="FFFFFF"/>
        </w:rPr>
      </w:pPr>
    </w:p>
    <w:p>
      <w:r>
        <w:rPr>
          <w:rStyle w:val="56"/>
          <w:color w:val="auto"/>
          <w:u w:val="none"/>
          <w:shd w:val="clear" w:color="auto" w:fill="FFFFFF"/>
        </w:rPr>
        <w:t>业绩</w:t>
      </w:r>
      <w:r>
        <w:rPr>
          <w:rStyle w:val="56"/>
          <w:rFonts w:hint="eastAsia"/>
          <w:color w:val="auto"/>
          <w:u w:val="none"/>
          <w:shd w:val="clear" w:color="auto" w:fill="FFFFFF"/>
        </w:rPr>
        <w:t>合同</w:t>
      </w:r>
      <w:r>
        <w:rPr>
          <w:rStyle w:val="56"/>
          <w:color w:val="auto"/>
          <w:u w:val="none"/>
          <w:shd w:val="clear" w:color="auto" w:fill="FFFFFF"/>
        </w:rPr>
        <w:t>证明材料</w:t>
      </w:r>
      <w:r>
        <w:rPr>
          <w:rStyle w:val="56"/>
          <w:rFonts w:hint="eastAsia"/>
          <w:color w:val="auto"/>
          <w:u w:val="none"/>
          <w:shd w:val="clear" w:color="auto" w:fill="FFFFFF"/>
        </w:rPr>
        <w:t>须为</w:t>
      </w:r>
      <w:r>
        <w:rPr>
          <w:rStyle w:val="56"/>
          <w:color w:val="auto"/>
          <w:u w:val="none"/>
          <w:shd w:val="clear" w:color="auto" w:fill="FFFFFF"/>
        </w:rPr>
        <w:t>合同</w:t>
      </w:r>
      <w:r>
        <w:rPr>
          <w:rStyle w:val="56"/>
          <w:rFonts w:hint="eastAsia"/>
          <w:color w:val="auto"/>
          <w:u w:val="none"/>
          <w:shd w:val="clear" w:color="auto" w:fill="FFFFFF"/>
        </w:rPr>
        <w:t>原件扫描件打印版，并按顺序附后。</w:t>
      </w:r>
    </w:p>
    <w:p/>
    <w:p>
      <w:pPr>
        <w:pStyle w:val="2"/>
        <w:ind w:left="0" w:leftChars="0" w:firstLine="0"/>
      </w:pPr>
    </w:p>
    <w:p>
      <w:pPr>
        <w:pStyle w:val="2"/>
        <w:ind w:left="0" w:leftChars="0" w:firstLine="0"/>
      </w:pPr>
    </w:p>
    <w:p>
      <w:pPr>
        <w:pStyle w:val="16"/>
        <w:rPr>
          <w:color w:val="FF0000"/>
          <w:highlight w:val="cyan"/>
        </w:rPr>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ascii="宋体" w:hAnsi="宋体" w:cs="宋体"/>
          <w:b/>
          <w:sz w:val="32"/>
          <w:szCs w:val="32"/>
        </w:rPr>
      </w:pPr>
      <w:bookmarkStart w:id="123" w:name="_Toc13791"/>
      <w:bookmarkStart w:id="124" w:name="_Toc9230"/>
      <w:bookmarkStart w:id="125" w:name="_Toc7528"/>
      <w:bookmarkStart w:id="126" w:name="_Toc20484"/>
      <w:bookmarkStart w:id="127" w:name="_Toc30403"/>
      <w:r>
        <w:rPr>
          <w:rFonts w:hint="eastAsia" w:ascii="宋体" w:hAnsi="宋体" w:cs="宋体"/>
          <w:b/>
          <w:sz w:val="32"/>
          <w:szCs w:val="32"/>
        </w:rPr>
        <w:t>五、服务方案</w:t>
      </w:r>
      <w:bookmarkEnd w:id="123"/>
      <w:bookmarkEnd w:id="124"/>
      <w:bookmarkEnd w:id="125"/>
      <w:bookmarkEnd w:id="126"/>
      <w:bookmarkEnd w:id="127"/>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11" w:firstLineChars="100"/>
        <w:jc w:val="center"/>
        <w:textAlignment w:val="auto"/>
        <w:rPr>
          <w:rFonts w:ascii="黑体" w:hAnsi="宋体" w:eastAsia="黑体"/>
          <w:b/>
          <w:bCs/>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b/>
          <w:szCs w:val="21"/>
        </w:rPr>
      </w:pPr>
      <w:r>
        <w:rPr>
          <w:rFonts w:hint="eastAsia" w:ascii="宋体" w:hAnsi="宋体"/>
          <w:b/>
          <w:szCs w:val="21"/>
        </w:rPr>
        <w:t>1.服务方案说明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szCs w:val="21"/>
        </w:rPr>
      </w:pPr>
      <w:r>
        <w:rPr>
          <w:rFonts w:hint="eastAsia" w:ascii="宋体" w:hAnsi="宋体"/>
          <w:szCs w:val="21"/>
        </w:rPr>
        <w:t>1.1谈判单位应根据“用户需求书”规定编写服务方案或服务大纲。</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szCs w:val="21"/>
        </w:rPr>
      </w:pPr>
      <w:r>
        <w:rPr>
          <w:rFonts w:hint="eastAsia" w:ascii="宋体" w:hAnsi="宋体"/>
          <w:szCs w:val="21"/>
        </w:rPr>
        <w:t>1.2服务方案或服务大纲应包括：(1)服务目标、范围和任务；(2)服务方案；(3)服务团队组织安排计划；(4)工作流程；(5)进度计划及保证措施；(6)质量保证措施；(7)合理化建议；(8)其他。</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spacing w:line="360" w:lineRule="auto"/>
        <w:ind w:left="0" w:leftChars="0"/>
        <w:textAlignment w:val="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numPr>
          <w:ilvl w:val="0"/>
          <w:numId w:val="0"/>
        </w:numPr>
        <w:adjustRightInd w:val="0"/>
        <w:snapToGrid w:val="0"/>
        <w:spacing w:line="360" w:lineRule="auto"/>
        <w:ind w:right="24" w:rightChars="0"/>
        <w:jc w:val="center"/>
        <w:outlineLvl w:val="1"/>
        <w:rPr>
          <w:rFonts w:hint="eastAsia" w:ascii="宋体" w:hAnsi="宋体" w:cs="宋体"/>
          <w:b/>
          <w:sz w:val="32"/>
          <w:szCs w:val="32"/>
        </w:rPr>
      </w:pPr>
      <w:r>
        <w:rPr>
          <w:rFonts w:ascii="宋体" w:hAnsi="宋体"/>
          <w:sz w:val="24"/>
        </w:rPr>
        <w:br w:type="page"/>
      </w:r>
      <w:bookmarkStart w:id="128" w:name="_Toc21225"/>
      <w:bookmarkStart w:id="129" w:name="_Toc9579"/>
      <w:bookmarkStart w:id="130" w:name="_Toc25553"/>
      <w:bookmarkStart w:id="131" w:name="_Toc5387"/>
      <w:bookmarkStart w:id="132" w:name="_Toc15835"/>
      <w:r>
        <w:rPr>
          <w:rFonts w:hint="eastAsia" w:ascii="宋体" w:hAnsi="宋体" w:cs="宋体"/>
          <w:b/>
          <w:sz w:val="32"/>
          <w:szCs w:val="32"/>
          <w:lang w:eastAsia="zh-CN"/>
        </w:rPr>
        <w:t>六、</w:t>
      </w:r>
      <w:r>
        <w:rPr>
          <w:rFonts w:hint="eastAsia" w:ascii="宋体" w:hAnsi="宋体" w:cs="宋体"/>
          <w:b/>
          <w:sz w:val="32"/>
          <w:szCs w:val="32"/>
        </w:rPr>
        <w:t>报价一览表</w:t>
      </w:r>
      <w:bookmarkEnd w:id="128"/>
      <w:bookmarkEnd w:id="129"/>
      <w:bookmarkEnd w:id="130"/>
      <w:bookmarkEnd w:id="131"/>
      <w:bookmarkEnd w:id="132"/>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23"/>
        <w:gridCol w:w="6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2523" w:type="dxa"/>
            <w:noWrap w:val="0"/>
            <w:vAlign w:val="center"/>
          </w:tcPr>
          <w:p>
            <w:pPr>
              <w:spacing w:line="420" w:lineRule="exact"/>
              <w:jc w:val="center"/>
              <w:rPr>
                <w:b/>
                <w:bCs/>
                <w:color w:val="auto"/>
                <w:highlight w:val="none"/>
              </w:rPr>
            </w:pPr>
            <w:r>
              <w:rPr>
                <w:rFonts w:hint="eastAsia" w:ascii="宋体" w:hAnsi="宋体" w:cs="宋体"/>
                <w:b/>
                <w:bCs/>
                <w:color w:val="auto"/>
                <w:szCs w:val="21"/>
                <w:highlight w:val="none"/>
              </w:rPr>
              <w:t>项目名称</w:t>
            </w:r>
          </w:p>
        </w:tc>
        <w:tc>
          <w:tcPr>
            <w:tcW w:w="6297" w:type="dxa"/>
            <w:noWrap w:val="0"/>
            <w:vAlign w:val="center"/>
          </w:tcPr>
          <w:p>
            <w:pPr>
              <w:rPr>
                <w:rFonts w:ascii="宋体" w:hAnsi="宋体"/>
                <w:color w:val="auto"/>
                <w:szCs w:val="21"/>
                <w:highlight w:val="none"/>
              </w:rPr>
            </w:pPr>
            <w:r>
              <w:rPr>
                <w:rFonts w:hint="eastAsia" w:ascii="宋体" w:hAnsi="宋体"/>
                <w:color w:val="auto"/>
                <w:szCs w:val="21"/>
                <w:highlight w:val="none"/>
                <w:lang w:val="en-US" w:eastAsia="zh-CN"/>
              </w:rPr>
              <w:t>长沙市轨道交通2号线电客车首轮大修、4号线电客车首轮架修概算编制咨询服务项目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noWrap w:val="0"/>
            <w:vAlign w:val="center"/>
          </w:tcPr>
          <w:p>
            <w:pPr>
              <w:spacing w:line="420" w:lineRule="exact"/>
              <w:jc w:val="center"/>
              <w:rPr>
                <w:b/>
                <w:bCs/>
                <w:color w:val="auto"/>
                <w:highlight w:val="none"/>
              </w:rPr>
            </w:pPr>
            <w:r>
              <w:rPr>
                <w:rFonts w:hint="eastAsia" w:ascii="宋体" w:hAnsi="宋体" w:cs="宋体"/>
                <w:b/>
                <w:bCs/>
                <w:color w:val="auto"/>
                <w:szCs w:val="21"/>
                <w:highlight w:val="none"/>
              </w:rPr>
              <w:t>项目编号</w:t>
            </w:r>
          </w:p>
        </w:tc>
        <w:tc>
          <w:tcPr>
            <w:tcW w:w="6297" w:type="dxa"/>
            <w:noWrap w:val="0"/>
            <w:vAlign w:val="center"/>
          </w:tcPr>
          <w:p>
            <w:pPr>
              <w:rPr>
                <w:rFonts w:ascii="宋体" w:hAnsi="宋体"/>
                <w:color w:val="auto"/>
                <w:szCs w:val="21"/>
                <w:highlight w:val="none"/>
              </w:rPr>
            </w:pPr>
            <w:r>
              <w:rPr>
                <w:rStyle w:val="56"/>
                <w:rFonts w:hint="eastAsia"/>
                <w:color w:val="auto"/>
                <w:kern w:val="0"/>
                <w:u w:val="none"/>
                <w:shd w:val="clear" w:color="auto" w:fill="FFFFFF"/>
              </w:rPr>
              <w:t>长轨运服采【202</w:t>
            </w:r>
            <w:r>
              <w:rPr>
                <w:rStyle w:val="56"/>
                <w:rFonts w:hint="eastAsia"/>
                <w:color w:val="auto"/>
                <w:kern w:val="0"/>
                <w:u w:val="none"/>
                <w:shd w:val="clear" w:color="auto" w:fill="FFFFFF"/>
                <w:lang w:val="en-US" w:eastAsia="zh-CN"/>
              </w:rPr>
              <w:t>3</w:t>
            </w:r>
            <w:r>
              <w:rPr>
                <w:rStyle w:val="56"/>
                <w:rFonts w:hint="eastAsia"/>
                <w:color w:val="auto"/>
                <w:kern w:val="0"/>
                <w:u w:val="none"/>
                <w:shd w:val="clear" w:color="auto" w:fill="FFFFFF"/>
              </w:rPr>
              <w:t>】</w:t>
            </w:r>
            <w:r>
              <w:rPr>
                <w:rStyle w:val="56"/>
                <w:rFonts w:hint="eastAsia"/>
                <w:color w:val="auto"/>
                <w:kern w:val="0"/>
                <w:u w:val="none"/>
                <w:shd w:val="clear" w:color="auto" w:fill="FFFFFF"/>
                <w:lang w:val="en-US" w:eastAsia="zh-CN"/>
              </w:rPr>
              <w:t>001</w:t>
            </w:r>
            <w:r>
              <w:rPr>
                <w:rStyle w:val="56"/>
                <w:rFonts w:hint="eastAsia"/>
                <w:color w:val="auto"/>
                <w:kern w:val="0"/>
                <w:u w:val="none"/>
                <w:shd w:val="clear" w:color="auto" w:fill="FFFFFF"/>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2523" w:type="dxa"/>
            <w:noWrap w:val="0"/>
            <w:vAlign w:val="center"/>
          </w:tcPr>
          <w:p>
            <w:pPr>
              <w:spacing w:line="420" w:lineRule="exact"/>
              <w:jc w:val="center"/>
              <w:rPr>
                <w:b/>
                <w:bCs/>
                <w:color w:val="auto"/>
                <w:highlight w:val="none"/>
              </w:rPr>
            </w:pPr>
            <w:r>
              <w:rPr>
                <w:rFonts w:hint="eastAsia"/>
                <w:b/>
                <w:bCs/>
                <w:color w:val="auto"/>
                <w:highlight w:val="none"/>
              </w:rPr>
              <w:t>服务期限</w:t>
            </w:r>
          </w:p>
        </w:tc>
        <w:tc>
          <w:tcPr>
            <w:tcW w:w="6297" w:type="dxa"/>
            <w:noWrap w:val="0"/>
            <w:vAlign w:val="center"/>
          </w:tcPr>
          <w:p>
            <w:pPr>
              <w:rPr>
                <w:rFonts w:ascii="宋体" w:hAnsi="宋体"/>
                <w:color w:val="auto"/>
                <w:szCs w:val="21"/>
                <w:highlight w:val="none"/>
              </w:rPr>
            </w:pPr>
            <w:r>
              <w:rPr>
                <w:rFonts w:hint="eastAsia" w:ascii="宋体" w:hAnsi="宋体" w:cs="宋体"/>
              </w:rPr>
              <w:t>本项目服</w:t>
            </w:r>
            <w:r>
              <w:rPr>
                <w:rFonts w:hint="eastAsia" w:ascii="宋体" w:hAnsi="宋体" w:eastAsia="宋体" w:cs="宋体"/>
                <w:color w:val="000000"/>
                <w:highlight w:val="none"/>
                <w:lang w:val="en-US" w:eastAsia="zh-CN"/>
              </w:rPr>
              <w:t>务期限为90个自然日（实际服务时间以采购单位发出的进场通知起算，总计90个自然日）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restart"/>
            <w:noWrap w:val="0"/>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谈判不含增值税</w:t>
            </w:r>
            <w:r>
              <w:rPr>
                <w:rFonts w:ascii="宋体" w:hAnsi="宋体"/>
                <w:b/>
                <w:bCs/>
                <w:color w:val="auto"/>
                <w:szCs w:val="21"/>
                <w:highlight w:val="none"/>
              </w:rPr>
              <w:t>总报价</w:t>
            </w:r>
          </w:p>
        </w:tc>
        <w:tc>
          <w:tcPr>
            <w:tcW w:w="6297" w:type="dxa"/>
            <w:noWrap w:val="0"/>
            <w:vAlign w:val="center"/>
          </w:tcPr>
          <w:p>
            <w:pPr>
              <w:spacing w:line="420" w:lineRule="exact"/>
              <w:jc w:val="left"/>
              <w:rPr>
                <w:rFonts w:ascii="宋体" w:hAnsi="宋体"/>
                <w:color w:val="auto"/>
                <w:szCs w:val="21"/>
                <w:highlight w:val="none"/>
                <w:u w:val="single"/>
              </w:rPr>
            </w:pPr>
            <w:r>
              <w:rPr>
                <w:rFonts w:hint="eastAsia" w:ascii="宋体" w:hAnsi="宋体"/>
                <w:color w:val="auto"/>
                <w:szCs w:val="21"/>
                <w:highlight w:val="none"/>
              </w:rPr>
              <w:t>大写：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continue"/>
            <w:noWrap w:val="0"/>
            <w:vAlign w:val="center"/>
          </w:tcPr>
          <w:p>
            <w:pPr>
              <w:spacing w:line="420" w:lineRule="exact"/>
              <w:jc w:val="center"/>
              <w:rPr>
                <w:rFonts w:ascii="宋体" w:hAnsi="宋体"/>
                <w:b/>
                <w:bCs/>
                <w:color w:val="auto"/>
                <w:szCs w:val="21"/>
                <w:highlight w:val="none"/>
              </w:rPr>
            </w:pPr>
          </w:p>
        </w:tc>
        <w:tc>
          <w:tcPr>
            <w:tcW w:w="6297" w:type="dxa"/>
            <w:noWrap w:val="0"/>
            <w:vAlign w:val="center"/>
          </w:tcPr>
          <w:p>
            <w:pPr>
              <w:spacing w:line="420" w:lineRule="exact"/>
              <w:jc w:val="left"/>
              <w:rPr>
                <w:rFonts w:ascii="宋体" w:hAnsi="宋体"/>
                <w:color w:val="auto"/>
                <w:szCs w:val="21"/>
                <w:highlight w:val="none"/>
              </w:rPr>
            </w:pPr>
            <w:r>
              <w:rPr>
                <w:rFonts w:hint="eastAsia" w:ascii="宋体" w:hAnsi="宋体"/>
                <w:color w:val="auto"/>
                <w:szCs w:val="21"/>
                <w:highlight w:val="none"/>
              </w:rPr>
              <w:t>小写：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523" w:type="dxa"/>
            <w:noWrap w:val="0"/>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税费</w:t>
            </w:r>
          </w:p>
        </w:tc>
        <w:tc>
          <w:tcPr>
            <w:tcW w:w="6297" w:type="dxa"/>
            <w:noWrap w:val="0"/>
            <w:vAlign w:val="center"/>
          </w:tcPr>
          <w:p>
            <w:pPr>
              <w:spacing w:line="420" w:lineRule="exact"/>
              <w:jc w:val="left"/>
              <w:rPr>
                <w:rFonts w:ascii="宋体" w:hAnsi="宋体"/>
                <w:color w:val="auto"/>
                <w:szCs w:val="21"/>
                <w:highlight w:val="none"/>
              </w:rPr>
            </w:pP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2523" w:type="dxa"/>
            <w:noWrap w:val="0"/>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增值税税率</w:t>
            </w:r>
          </w:p>
        </w:tc>
        <w:tc>
          <w:tcPr>
            <w:tcW w:w="6297" w:type="dxa"/>
            <w:noWrap w:val="0"/>
            <w:vAlign w:val="center"/>
          </w:tcPr>
          <w:p>
            <w:pPr>
              <w:spacing w:line="420" w:lineRule="exac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restart"/>
            <w:noWrap w:val="0"/>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谈判</w:t>
            </w:r>
            <w:r>
              <w:rPr>
                <w:rFonts w:ascii="宋体" w:hAnsi="宋体"/>
                <w:b/>
                <w:bCs/>
                <w:color w:val="auto"/>
                <w:szCs w:val="21"/>
                <w:highlight w:val="none"/>
              </w:rPr>
              <w:t>总报价</w:t>
            </w:r>
          </w:p>
        </w:tc>
        <w:tc>
          <w:tcPr>
            <w:tcW w:w="6297" w:type="dxa"/>
            <w:noWrap w:val="0"/>
            <w:vAlign w:val="center"/>
          </w:tcPr>
          <w:p>
            <w:pPr>
              <w:spacing w:line="420" w:lineRule="exact"/>
              <w:jc w:val="left"/>
              <w:rPr>
                <w:rFonts w:ascii="宋体" w:hAnsi="宋体"/>
                <w:color w:val="auto"/>
                <w:szCs w:val="21"/>
                <w:highlight w:val="none"/>
              </w:rPr>
            </w:pPr>
            <w:r>
              <w:rPr>
                <w:rFonts w:hint="eastAsia" w:ascii="宋体" w:hAnsi="宋体"/>
                <w:color w:val="auto"/>
                <w:szCs w:val="21"/>
                <w:highlight w:val="none"/>
              </w:rPr>
              <w:t>大写：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continue"/>
            <w:noWrap w:val="0"/>
            <w:vAlign w:val="center"/>
          </w:tcPr>
          <w:p>
            <w:pPr>
              <w:spacing w:line="420" w:lineRule="exact"/>
              <w:jc w:val="center"/>
              <w:rPr>
                <w:rFonts w:ascii="宋体" w:hAnsi="宋体"/>
                <w:b/>
                <w:bCs/>
                <w:color w:val="auto"/>
                <w:szCs w:val="21"/>
                <w:highlight w:val="none"/>
              </w:rPr>
            </w:pPr>
          </w:p>
        </w:tc>
        <w:tc>
          <w:tcPr>
            <w:tcW w:w="6297" w:type="dxa"/>
            <w:noWrap w:val="0"/>
            <w:vAlign w:val="center"/>
          </w:tcPr>
          <w:p>
            <w:pPr>
              <w:spacing w:line="420" w:lineRule="exact"/>
              <w:jc w:val="left"/>
              <w:rPr>
                <w:rFonts w:ascii="宋体" w:hAnsi="宋体"/>
                <w:color w:val="auto"/>
                <w:szCs w:val="21"/>
                <w:highlight w:val="none"/>
              </w:rPr>
            </w:pPr>
            <w:r>
              <w:rPr>
                <w:rFonts w:hint="eastAsia" w:ascii="宋体" w:hAnsi="宋体"/>
                <w:color w:val="auto"/>
                <w:szCs w:val="21"/>
                <w:highlight w:val="none"/>
              </w:rPr>
              <w:t>小写：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2523" w:type="dxa"/>
            <w:noWrap w:val="0"/>
            <w:vAlign w:val="center"/>
          </w:tcPr>
          <w:p>
            <w:pPr>
              <w:spacing w:line="420" w:lineRule="exact"/>
              <w:jc w:val="center"/>
              <w:rPr>
                <w:rFonts w:ascii="宋体" w:hAnsi="宋体"/>
                <w:b/>
                <w:bCs/>
                <w:color w:val="auto"/>
                <w:szCs w:val="21"/>
                <w:highlight w:val="none"/>
              </w:rPr>
            </w:pPr>
            <w:r>
              <w:rPr>
                <w:rFonts w:ascii="宋体" w:hAnsi="宋体"/>
                <w:b/>
                <w:bCs/>
                <w:color w:val="auto"/>
                <w:szCs w:val="21"/>
                <w:highlight w:val="none"/>
              </w:rPr>
              <w:t>备  注</w:t>
            </w:r>
          </w:p>
        </w:tc>
        <w:tc>
          <w:tcPr>
            <w:tcW w:w="6297" w:type="dxa"/>
            <w:noWrap w:val="0"/>
            <w:vAlign w:val="center"/>
          </w:tcPr>
          <w:p>
            <w:pPr>
              <w:adjustRightInd w:val="0"/>
              <w:snapToGrid w:val="0"/>
              <w:spacing w:line="360" w:lineRule="auto"/>
              <w:ind w:firstLine="0" w:firstLineChars="0"/>
              <w:rPr>
                <w:rFonts w:ascii="宋体" w:hAnsi="宋体"/>
                <w:color w:val="auto"/>
                <w:szCs w:val="21"/>
                <w:highlight w:val="none"/>
              </w:rPr>
            </w:pPr>
            <w:r>
              <w:rPr>
                <w:rFonts w:hint="eastAsia" w:ascii="宋体" w:hAnsi="宋体"/>
                <w:b/>
                <w:color w:val="auto"/>
                <w:szCs w:val="21"/>
                <w:highlight w:val="none"/>
                <w:lang w:val="en-US" w:eastAsia="zh-CN"/>
              </w:rPr>
              <w:t>*</w:t>
            </w:r>
            <w:r>
              <w:rPr>
                <w:rFonts w:hint="eastAsia" w:ascii="宋体" w:hAnsi="宋体"/>
                <w:b/>
                <w:color w:val="auto"/>
                <w:szCs w:val="21"/>
                <w:highlight w:val="none"/>
              </w:rPr>
              <w:t>本项目报价须满足“谈判不含增值税总报价=谈判总报价/（1+增值税税率）”</w:t>
            </w:r>
          </w:p>
        </w:tc>
      </w:tr>
    </w:tbl>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注：1.所有报价保留小数点后两位，小数点后第三位“四舍五入”。</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2.本表内“谈判总报价”是包含了所有隐含的管理费、税金和利润等其他费用的报价。</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Times New Roman"/>
          <w:b/>
          <w:szCs w:val="21"/>
          <w:highlight w:val="none"/>
          <w:lang w:val="en-US" w:eastAsia="zh-CN"/>
        </w:rPr>
      </w:pPr>
      <w:r>
        <w:rPr>
          <w:rFonts w:hint="eastAsia" w:ascii="宋体" w:hAnsi="宋体" w:eastAsia="宋体" w:cs="Times New Roman"/>
          <w:b/>
          <w:szCs w:val="21"/>
          <w:highlight w:val="none"/>
        </w:rPr>
        <w:t>3.</w:t>
      </w:r>
      <w:r>
        <w:rPr>
          <w:rFonts w:hint="eastAsia" w:ascii="宋体" w:hAnsi="宋体" w:eastAsia="宋体" w:cs="Times New Roman"/>
          <w:b/>
          <w:szCs w:val="21"/>
          <w:highlight w:val="none"/>
          <w:lang w:val="en-US" w:eastAsia="zh-CN"/>
        </w:rPr>
        <w:t>本项目设置最高限价，谈判报价综合单价、总价不能高于采购单位公布的最高限价，不超过最高限价的谈判报价综合单价、总价方为有效报价。</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4.本项目谈判报价评审时，以“谈判不含增值税总报价”进行评审。</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5.本项目谈判总报价为含税总价（即谈判不含税增值税总报价与税费之和）。谈判单位在填写谈判报价时应当注意区分“谈判不含增值税总价”“税费”“谈判总报价”。</w:t>
      </w:r>
    </w:p>
    <w:p>
      <w:pPr>
        <w:pStyle w:val="29"/>
        <w:adjustRightInd w:val="0"/>
        <w:snapToGrid w:val="0"/>
        <w:spacing w:line="360" w:lineRule="auto"/>
        <w:rPr>
          <w:rFonts w:hint="eastAsia" w:ascii="宋体" w:hAnsi="宋体"/>
          <w:sz w:val="21"/>
          <w:szCs w:val="21"/>
          <w:highlight w:val="none"/>
        </w:rPr>
      </w:pPr>
    </w:p>
    <w:p>
      <w:pPr>
        <w:pStyle w:val="29"/>
        <w:adjustRightInd w:val="0"/>
        <w:snapToGrid w:val="0"/>
        <w:spacing w:line="360" w:lineRule="auto"/>
        <w:rPr>
          <w:rFonts w:hint="eastAsia" w:ascii="宋体" w:hAnsi="宋体"/>
          <w:sz w:val="21"/>
          <w:szCs w:val="21"/>
          <w:highlight w:val="none"/>
        </w:rPr>
      </w:pPr>
    </w:p>
    <w:p>
      <w:pPr>
        <w:pStyle w:val="29"/>
        <w:adjustRightInd w:val="0"/>
        <w:snapToGrid w:val="0"/>
        <w:spacing w:line="360" w:lineRule="auto"/>
        <w:rPr>
          <w:rFonts w:ascii="宋体" w:hAnsi="宋体"/>
          <w:bCs/>
          <w:sz w:val="21"/>
          <w:szCs w:val="21"/>
          <w:highlight w:val="none"/>
        </w:rPr>
      </w:pPr>
      <w:r>
        <w:rPr>
          <w:rFonts w:hint="eastAsia" w:ascii="宋体" w:hAnsi="宋体"/>
          <w:sz w:val="21"/>
          <w:szCs w:val="21"/>
          <w:highlight w:val="none"/>
        </w:rPr>
        <w:t>谈判单位名称：</w:t>
      </w:r>
      <w:r>
        <w:rPr>
          <w:rFonts w:hint="eastAsia" w:ascii="宋体" w:hAnsi="宋体"/>
          <w:sz w:val="21"/>
          <w:szCs w:val="21"/>
          <w:highlight w:val="none"/>
          <w:u w:val="single"/>
        </w:rPr>
        <w:t xml:space="preserve">    （盖单位章）    </w:t>
      </w:r>
    </w:p>
    <w:p>
      <w:pP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法定代表人或其委托代理人(签字或盖章)：</w:t>
      </w:r>
      <w:r>
        <w:rPr>
          <w:rFonts w:hint="eastAsia" w:ascii="宋体" w:hAnsi="宋体"/>
          <w:szCs w:val="21"/>
          <w:highlight w:val="none"/>
          <w:u w:val="single"/>
        </w:rPr>
        <w:t xml:space="preserve">               </w:t>
      </w:r>
    </w:p>
    <w:p>
      <w:pPr>
        <w:spacing w:line="360" w:lineRule="auto"/>
        <w:rPr>
          <w:rFonts w:ascii="黑体" w:eastAsia="黑体"/>
          <w:b/>
          <w:bCs/>
          <w:sz w:val="32"/>
          <w:szCs w:val="32"/>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pStyle w:val="2"/>
        <w:numPr>
          <w:ilvl w:val="0"/>
          <w:numId w:val="0"/>
        </w:numPr>
        <w:ind w:leftChars="200"/>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hint="eastAsia" w:ascii="宋体" w:hAnsi="宋体" w:eastAsia="宋体" w:cs="宋体"/>
          <w:b/>
          <w:sz w:val="32"/>
          <w:szCs w:val="32"/>
          <w:highlight w:val="none"/>
        </w:rPr>
      </w:pPr>
      <w:bookmarkStart w:id="133" w:name="_Toc6330"/>
      <w:r>
        <w:rPr>
          <w:rFonts w:hint="eastAsia" w:ascii="宋体" w:hAnsi="宋体" w:cs="宋体"/>
          <w:b/>
          <w:sz w:val="32"/>
          <w:szCs w:val="32"/>
          <w:highlight w:val="none"/>
          <w:lang w:val="en-US" w:eastAsia="zh-CN"/>
        </w:rPr>
        <w:t>七、</w:t>
      </w:r>
      <w:r>
        <w:rPr>
          <w:rFonts w:hint="eastAsia" w:ascii="宋体" w:hAnsi="宋体" w:eastAsia="宋体" w:cs="宋体"/>
          <w:b/>
          <w:sz w:val="32"/>
          <w:szCs w:val="32"/>
          <w:highlight w:val="none"/>
        </w:rPr>
        <w:t>分项价格表</w:t>
      </w:r>
      <w:bookmarkEnd w:id="133"/>
    </w:p>
    <w:p>
      <w:pPr>
        <w:adjustRightInd w:val="0"/>
        <w:snapToGrid w:val="0"/>
        <w:jc w:val="right"/>
        <w:rPr>
          <w:rFonts w:ascii="黑体" w:hAnsi="宋体" w:eastAsia="黑体"/>
          <w:sz w:val="24"/>
        </w:rPr>
      </w:pPr>
    </w:p>
    <w:tbl>
      <w:tblPr>
        <w:tblStyle w:val="47"/>
        <w:tblW w:w="97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2085"/>
        <w:gridCol w:w="714"/>
        <w:gridCol w:w="781"/>
        <w:gridCol w:w="1224"/>
        <w:gridCol w:w="1248"/>
        <w:gridCol w:w="1236"/>
        <w:gridCol w:w="1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206"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bookmarkStart w:id="134" w:name="_Toc5231"/>
            <w:r>
              <w:rPr>
                <w:rFonts w:hint="eastAsia" w:ascii="宋体" w:hAnsi="宋体" w:eastAsia="宋体" w:cs="宋体"/>
                <w:b/>
                <w:bCs/>
                <w:kern w:val="0"/>
                <w:sz w:val="21"/>
                <w:szCs w:val="21"/>
                <w:lang w:val="en-US" w:eastAsia="zh-CN" w:bidi="ar"/>
              </w:rPr>
              <w:t>项目名称</w:t>
            </w:r>
          </w:p>
        </w:tc>
        <w:tc>
          <w:tcPr>
            <w:tcW w:w="8526" w:type="dxa"/>
            <w:gridSpan w:val="7"/>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kern w:val="0"/>
                <w:szCs w:val="21"/>
                <w:lang w:val="en-US" w:bidi="ar"/>
              </w:rPr>
            </w:pPr>
            <w:r>
              <w:rPr>
                <w:rFonts w:hint="eastAsia" w:ascii="宋体" w:hAnsi="宋体"/>
                <w:color w:val="auto"/>
                <w:szCs w:val="21"/>
                <w:highlight w:val="none"/>
                <w:lang w:val="en-US" w:eastAsia="zh-CN"/>
              </w:rPr>
              <w:t>长沙市轨道交通2号线电客车首轮大修、4号线电客车首轮架修概算编制咨询服务项目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r>
              <w:rPr>
                <w:rFonts w:hint="eastAsia" w:ascii="宋体" w:hAnsi="宋体" w:eastAsia="宋体" w:cs="宋体"/>
                <w:b/>
                <w:bCs/>
                <w:kern w:val="0"/>
                <w:sz w:val="21"/>
                <w:szCs w:val="21"/>
                <w:lang w:val="en-US" w:eastAsia="zh-CN" w:bidi="ar"/>
              </w:rPr>
              <w:t>项目编号</w:t>
            </w:r>
          </w:p>
        </w:tc>
        <w:tc>
          <w:tcPr>
            <w:tcW w:w="8526" w:type="dxa"/>
            <w:gridSpan w:val="7"/>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kern w:val="0"/>
                <w:szCs w:val="21"/>
                <w:lang w:val="en-US" w:bidi="ar"/>
              </w:rPr>
            </w:pPr>
            <w:r>
              <w:rPr>
                <w:rStyle w:val="56"/>
                <w:rFonts w:hint="eastAsia"/>
                <w:color w:val="auto"/>
                <w:kern w:val="0"/>
                <w:u w:val="none"/>
                <w:shd w:val="clear" w:color="auto" w:fill="FFFFFF"/>
              </w:rPr>
              <w:t>长轨运服采【202</w:t>
            </w:r>
            <w:r>
              <w:rPr>
                <w:rStyle w:val="56"/>
                <w:rFonts w:hint="eastAsia"/>
                <w:color w:val="auto"/>
                <w:kern w:val="0"/>
                <w:u w:val="none"/>
                <w:shd w:val="clear" w:color="auto" w:fill="FFFFFF"/>
                <w:lang w:val="en-US" w:eastAsia="zh-CN"/>
              </w:rPr>
              <w:t>3</w:t>
            </w:r>
            <w:r>
              <w:rPr>
                <w:rStyle w:val="56"/>
                <w:rFonts w:hint="eastAsia"/>
                <w:color w:val="auto"/>
                <w:kern w:val="0"/>
                <w:u w:val="none"/>
                <w:shd w:val="clear" w:color="auto" w:fill="FFFFFF"/>
              </w:rPr>
              <w:t>】</w:t>
            </w:r>
            <w:r>
              <w:rPr>
                <w:rStyle w:val="56"/>
                <w:rFonts w:hint="eastAsia"/>
                <w:color w:val="auto"/>
                <w:kern w:val="0"/>
                <w:u w:val="none"/>
                <w:shd w:val="clear" w:color="auto" w:fill="FFFFFF"/>
                <w:lang w:val="en-US" w:eastAsia="zh-CN"/>
              </w:rPr>
              <w:t>001</w:t>
            </w:r>
            <w:r>
              <w:rPr>
                <w:rStyle w:val="56"/>
                <w:rFonts w:hint="eastAsia"/>
                <w:color w:val="auto"/>
                <w:kern w:val="0"/>
                <w:u w:val="none"/>
                <w:shd w:val="clear" w:color="auto" w:fill="FFFFFF"/>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jc w:val="center"/>
        </w:trPr>
        <w:tc>
          <w:tcPr>
            <w:tcW w:w="1206"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r>
              <w:rPr>
                <w:rFonts w:hint="eastAsia" w:ascii="宋体" w:hAnsi="宋体" w:eastAsia="宋体" w:cs="宋体"/>
                <w:b/>
                <w:bCs/>
                <w:kern w:val="0"/>
                <w:sz w:val="21"/>
                <w:szCs w:val="21"/>
                <w:lang w:val="en-US" w:eastAsia="zh-CN" w:bidi="ar"/>
              </w:rPr>
              <w:t>序号</w:t>
            </w:r>
          </w:p>
        </w:tc>
        <w:tc>
          <w:tcPr>
            <w:tcW w:w="2085"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r>
              <w:rPr>
                <w:rFonts w:hint="eastAsia" w:ascii="宋体" w:hAnsi="宋体" w:eastAsia="宋体" w:cs="宋体"/>
                <w:b/>
                <w:bCs/>
                <w:kern w:val="0"/>
                <w:sz w:val="21"/>
                <w:szCs w:val="21"/>
                <w:lang w:val="en-US" w:eastAsia="zh-CN" w:bidi="ar"/>
              </w:rPr>
              <w:t>分项名称</w:t>
            </w:r>
          </w:p>
        </w:tc>
        <w:tc>
          <w:tcPr>
            <w:tcW w:w="714"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lang w:val="en-US"/>
              </w:rPr>
            </w:pPr>
            <w:r>
              <w:rPr>
                <w:rFonts w:hint="eastAsia" w:ascii="宋体" w:hAnsi="宋体" w:eastAsia="宋体" w:cs="宋体"/>
                <w:b/>
                <w:bCs/>
                <w:kern w:val="0"/>
                <w:sz w:val="21"/>
                <w:szCs w:val="21"/>
                <w:lang w:val="en-US" w:eastAsia="zh-CN" w:bidi="ar"/>
              </w:rPr>
              <w:t>单位</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r>
              <w:rPr>
                <w:rFonts w:hint="eastAsia" w:ascii="宋体" w:hAnsi="宋体" w:eastAsia="宋体" w:cs="宋体"/>
                <w:b/>
                <w:bCs/>
                <w:kern w:val="0"/>
                <w:sz w:val="21"/>
                <w:szCs w:val="21"/>
                <w:lang w:val="en-US" w:eastAsia="zh-CN" w:bidi="ar"/>
              </w:rPr>
              <w:t>数量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imes New Roman" w:hAnsi="宋体" w:eastAsia="宋体" w:cs="宋体"/>
                <w:b/>
                <w:bCs/>
                <w:kern w:val="2"/>
                <w:sz w:val="21"/>
                <w:szCs w:val="21"/>
                <w:lang w:val="en-US" w:eastAsia="zh-CN" w:bidi="ar"/>
              </w:rPr>
            </w:pPr>
            <w:r>
              <w:rPr>
                <w:rFonts w:hint="eastAsia" w:ascii="Times New Roman" w:hAnsi="宋体" w:eastAsia="宋体" w:cs="宋体"/>
                <w:b/>
                <w:bCs/>
                <w:kern w:val="2"/>
                <w:sz w:val="21"/>
                <w:szCs w:val="21"/>
                <w:lang w:val="en-US" w:eastAsia="zh-CN" w:bidi="ar"/>
              </w:rPr>
              <w:t>增值税</w:t>
            </w:r>
          </w:p>
          <w:p>
            <w:pPr>
              <w:keepNext w:val="0"/>
              <w:keepLines w:val="0"/>
              <w:widowControl w:val="0"/>
              <w:suppressLineNumbers w:val="0"/>
              <w:spacing w:before="0" w:beforeAutospacing="0" w:after="0" w:afterAutospacing="0"/>
              <w:ind w:left="0" w:right="0"/>
              <w:jc w:val="center"/>
              <w:rPr>
                <w:rFonts w:hint="eastAsia" w:ascii="Times New Roman" w:hAnsi="宋体" w:eastAsia="宋体" w:cs="宋体"/>
                <w:b/>
                <w:bCs/>
                <w:kern w:val="2"/>
                <w:sz w:val="21"/>
                <w:szCs w:val="21"/>
                <w:lang w:val="en-US" w:eastAsia="zh-CN" w:bidi="ar"/>
              </w:rPr>
            </w:pPr>
            <w:r>
              <w:rPr>
                <w:rFonts w:hint="eastAsia" w:ascii="Times New Roman" w:hAnsi="宋体" w:eastAsia="宋体" w:cs="宋体"/>
                <w:b/>
                <w:bCs/>
                <w:kern w:val="2"/>
                <w:sz w:val="21"/>
                <w:szCs w:val="21"/>
                <w:lang w:val="en-US" w:eastAsia="zh-CN" w:bidi="ar"/>
              </w:rPr>
              <w:t>税率（A）</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imes New Roman" w:hAnsi="宋体" w:eastAsia="宋体" w:cs="宋体"/>
                <w:b/>
                <w:bCs/>
                <w:kern w:val="2"/>
                <w:sz w:val="21"/>
                <w:szCs w:val="21"/>
                <w:lang w:val="en-US" w:eastAsia="zh-CN" w:bidi="ar"/>
              </w:rPr>
            </w:pPr>
            <w:r>
              <w:rPr>
                <w:rFonts w:hint="eastAsia" w:ascii="Times New Roman" w:hAnsi="宋体" w:eastAsia="宋体" w:cs="宋体"/>
                <w:b/>
                <w:bCs/>
                <w:kern w:val="2"/>
                <w:sz w:val="21"/>
                <w:szCs w:val="21"/>
                <w:lang w:val="en-US" w:eastAsia="zh-CN" w:bidi="ar"/>
              </w:rPr>
              <w:t>增值税</w:t>
            </w:r>
          </w:p>
          <w:p>
            <w:pPr>
              <w:keepNext w:val="0"/>
              <w:keepLines w:val="0"/>
              <w:widowControl w:val="0"/>
              <w:suppressLineNumbers w:val="0"/>
              <w:spacing w:before="0" w:beforeAutospacing="0" w:after="0" w:afterAutospacing="0"/>
              <w:ind w:left="0" w:right="0"/>
              <w:jc w:val="center"/>
              <w:rPr>
                <w:rFonts w:hint="eastAsia" w:ascii="Times New Roman" w:hAnsi="宋体" w:eastAsia="宋体" w:cs="宋体"/>
                <w:b/>
                <w:bCs/>
                <w:kern w:val="2"/>
                <w:sz w:val="21"/>
                <w:szCs w:val="21"/>
                <w:lang w:val="en-US" w:eastAsia="zh-CN" w:bidi="ar"/>
              </w:rPr>
            </w:pPr>
            <w:r>
              <w:rPr>
                <w:rFonts w:hint="eastAsia" w:ascii="Times New Roman" w:hAnsi="宋体" w:eastAsia="宋体" w:cs="宋体"/>
                <w:b/>
                <w:bCs/>
                <w:kern w:val="2"/>
                <w:sz w:val="21"/>
                <w:szCs w:val="21"/>
                <w:lang w:val="en-US" w:eastAsia="zh-CN" w:bidi="ar"/>
              </w:rPr>
              <w:t>税费(B)</w:t>
            </w:r>
          </w:p>
          <w:p>
            <w:pPr>
              <w:keepNext w:val="0"/>
              <w:keepLines w:val="0"/>
              <w:widowControl w:val="0"/>
              <w:suppressLineNumbers w:val="0"/>
              <w:spacing w:before="0" w:beforeAutospacing="0" w:after="0" w:afterAutospacing="0"/>
              <w:ind w:left="0" w:right="0"/>
              <w:jc w:val="center"/>
              <w:rPr>
                <w:rFonts w:hint="eastAsia" w:ascii="Times New Roman" w:hAnsi="宋体" w:eastAsia="宋体" w:cs="宋体"/>
                <w:b/>
                <w:bCs/>
                <w:kern w:val="2"/>
                <w:sz w:val="21"/>
                <w:szCs w:val="21"/>
                <w:lang w:val="en-US" w:eastAsia="zh-CN" w:bidi="ar"/>
              </w:rPr>
            </w:pPr>
            <w:r>
              <w:rPr>
                <w:rFonts w:hint="eastAsia" w:ascii="Times New Roman" w:hAnsi="宋体" w:eastAsia="宋体" w:cs="宋体"/>
                <w:b/>
                <w:bCs/>
                <w:kern w:val="2"/>
                <w:sz w:val="21"/>
                <w:szCs w:val="21"/>
                <w:lang w:val="en-US" w:eastAsia="zh-CN" w:bidi="ar"/>
              </w:rPr>
              <w:t>（元）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kern w:val="0"/>
                <w:szCs w:val="21"/>
                <w:lang w:val="en-US" w:bidi="ar"/>
              </w:rPr>
            </w:pPr>
            <w:r>
              <w:rPr>
                <w:rFonts w:hint="eastAsia" w:ascii="Times New Roman" w:hAnsi="宋体" w:eastAsia="宋体" w:cs="宋体"/>
                <w:b/>
                <w:bCs/>
                <w:kern w:val="2"/>
                <w:sz w:val="21"/>
                <w:szCs w:val="21"/>
                <w:lang w:val="en-US" w:eastAsia="zh-CN" w:bidi="ar"/>
              </w:rPr>
              <w:t>不含增值税报价（</w:t>
            </w:r>
            <w:r>
              <w:rPr>
                <w:rFonts w:hint="default" w:ascii="Times New Roman" w:hAnsi="宋体" w:eastAsia="宋体" w:cs="宋体"/>
                <w:b/>
                <w:bCs/>
                <w:kern w:val="2"/>
                <w:sz w:val="21"/>
                <w:szCs w:val="21"/>
                <w:lang w:val="en-US" w:eastAsia="zh-CN" w:bidi="ar"/>
              </w:rPr>
              <w:t>C</w:t>
            </w:r>
            <w:r>
              <w:rPr>
                <w:rFonts w:hint="eastAsia" w:ascii="Times New Roman" w:hAnsi="宋体" w:eastAsia="宋体" w:cs="宋体"/>
                <w:b/>
                <w:bCs/>
                <w:kern w:val="2"/>
                <w:sz w:val="21"/>
                <w:szCs w:val="21"/>
                <w:lang w:val="en-US" w:eastAsia="zh-CN" w:bidi="ar"/>
              </w:rPr>
              <w:t>）（元）</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hAnsi="宋体" w:cs="宋体"/>
                <w:b/>
                <w:bCs/>
                <w:szCs w:val="21"/>
                <w:lang w:val="en-US"/>
              </w:rPr>
            </w:pPr>
            <w:r>
              <w:rPr>
                <w:rFonts w:hint="eastAsia" w:ascii="Times New Roman" w:hAnsi="宋体" w:eastAsia="宋体" w:cs="宋体"/>
                <w:b/>
                <w:bCs/>
                <w:kern w:val="2"/>
                <w:sz w:val="21"/>
                <w:szCs w:val="21"/>
                <w:lang w:val="en-US" w:eastAsia="zh-CN" w:bidi="ar"/>
              </w:rPr>
              <w:t>含增值税报价（</w:t>
            </w:r>
            <w:r>
              <w:rPr>
                <w:rFonts w:hint="default" w:ascii="Times New Roman" w:hAnsi="宋体" w:eastAsia="宋体" w:cs="宋体"/>
                <w:b/>
                <w:bCs/>
                <w:kern w:val="2"/>
                <w:sz w:val="21"/>
                <w:szCs w:val="21"/>
                <w:lang w:val="en-US" w:eastAsia="zh-CN" w:bidi="ar"/>
              </w:rPr>
              <w:t>D</w:t>
            </w:r>
            <w:r>
              <w:rPr>
                <w:rFonts w:hint="eastAsia" w:ascii="Times New Roman" w:hAnsi="宋体" w:eastAsia="宋体" w:cs="宋体"/>
                <w:b/>
                <w:bCs/>
                <w:kern w:val="2"/>
                <w:sz w:val="21"/>
                <w:szCs w:val="21"/>
                <w:lang w:val="en-US" w:eastAsia="zh-CN" w:bidi="ar"/>
              </w:rPr>
              <w:t>）</w:t>
            </w:r>
          </w:p>
          <w:p>
            <w:pPr>
              <w:keepNext w:val="0"/>
              <w:keepLines w:val="0"/>
              <w:widowControl w:val="0"/>
              <w:suppressLineNumbers w:val="0"/>
              <w:spacing w:before="0" w:beforeAutospacing="0" w:after="0" w:afterAutospacing="0"/>
              <w:ind w:left="0" w:right="0"/>
              <w:jc w:val="center"/>
              <w:rPr>
                <w:rFonts w:hint="default" w:hAnsi="宋体" w:cs="宋体"/>
                <w:b/>
                <w:bCs/>
                <w:szCs w:val="21"/>
                <w:lang w:val="en-US"/>
              </w:rPr>
            </w:pPr>
            <w:r>
              <w:rPr>
                <w:rFonts w:hint="eastAsia" w:ascii="Times New Roman" w:hAnsi="宋体" w:eastAsia="宋体" w:cs="宋体"/>
                <w:b/>
                <w:bCs/>
                <w:kern w:val="2"/>
                <w:sz w:val="21"/>
                <w:szCs w:val="21"/>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120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r>
              <w:rPr>
                <w:rFonts w:hint="default" w:ascii="Times New Roman" w:hAnsi="Times New Roman" w:eastAsia="宋体" w:cs="Times New Roman"/>
                <w:kern w:val="0"/>
                <w:sz w:val="21"/>
                <w:szCs w:val="21"/>
                <w:lang w:val="en-US" w:eastAsia="zh-CN" w:bidi="ar"/>
              </w:rPr>
              <w:t>1</w:t>
            </w:r>
          </w:p>
        </w:tc>
        <w:tc>
          <w:tcPr>
            <w:tcW w:w="208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eastAsia="宋体"/>
                <w:kern w:val="0"/>
                <w:szCs w:val="21"/>
                <w:lang w:val="en-US" w:eastAsia="zh-CN" w:bidi="ar"/>
              </w:rPr>
            </w:pPr>
            <w:r>
              <w:rPr>
                <w:rFonts w:hint="eastAsia"/>
                <w:kern w:val="0"/>
                <w:szCs w:val="21"/>
                <w:lang w:val="en-US" w:eastAsia="zh-CN" w:bidi="ar"/>
              </w:rPr>
              <w:t>2号线大修概算编制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r>
              <w:rPr>
                <w:rFonts w:hint="eastAsia" w:ascii="Times New Roman" w:hAnsi="Times New Roman" w:eastAsia="宋体" w:cs="宋体"/>
                <w:kern w:val="0"/>
                <w:sz w:val="21"/>
                <w:szCs w:val="21"/>
                <w:lang w:val="en-US" w:eastAsia="zh-CN" w:bidi="ar"/>
              </w:rPr>
              <w:t>项</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r>
              <w:rPr>
                <w:rFonts w:hint="default" w:ascii="Times New Roman" w:hAnsi="Times New Roman" w:eastAsia="宋体" w:cs="Times New Roman"/>
                <w:kern w:val="0"/>
                <w:sz w:val="21"/>
                <w:szCs w:val="21"/>
                <w:lang w:val="en-US" w:eastAsia="zh-CN" w:bidi="ar"/>
              </w:rPr>
              <w:t>1</w:t>
            </w:r>
          </w:p>
        </w:tc>
        <w:tc>
          <w:tcPr>
            <w:tcW w:w="12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eastAsia="宋体"/>
                <w:kern w:val="0"/>
                <w:szCs w:val="21"/>
                <w:lang w:val="en-US" w:eastAsia="zh-CN" w:bidi="ar"/>
              </w:rPr>
            </w:pPr>
          </w:p>
        </w:tc>
        <w:tc>
          <w:tcPr>
            <w:tcW w:w="1248"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eastAsia="宋体"/>
                <w:kern w:val="0"/>
                <w:szCs w:val="21"/>
                <w:lang w:val="en-US" w:eastAsia="zh-CN" w:bidi="ar"/>
              </w:rPr>
            </w:pPr>
          </w:p>
        </w:tc>
        <w:tc>
          <w:tcPr>
            <w:tcW w:w="123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eastAsia="宋体"/>
                <w:kern w:val="0"/>
                <w:szCs w:val="21"/>
                <w:lang w:val="en-US" w:eastAsia="zh-CN" w:bidi="ar"/>
              </w:rPr>
            </w:pPr>
          </w:p>
        </w:tc>
        <w:tc>
          <w:tcPr>
            <w:tcW w:w="123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eastAsia="宋体"/>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r>
              <w:rPr>
                <w:rFonts w:hint="default" w:ascii="Times New Roman" w:hAnsi="Times New Roman" w:eastAsia="宋体" w:cs="Times New Roman"/>
                <w:kern w:val="0"/>
                <w:sz w:val="21"/>
                <w:szCs w:val="21"/>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eastAsia="宋体"/>
                <w:kern w:val="0"/>
                <w:szCs w:val="21"/>
                <w:lang w:val="en-US" w:eastAsia="zh-CN" w:bidi="ar"/>
              </w:rPr>
            </w:pPr>
            <w:r>
              <w:rPr>
                <w:rFonts w:hint="eastAsia"/>
                <w:kern w:val="0"/>
                <w:szCs w:val="21"/>
                <w:lang w:val="en-US" w:eastAsia="zh-CN" w:bidi="ar"/>
              </w:rPr>
              <w:t>4号线架修概算编制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r>
              <w:rPr>
                <w:rFonts w:hint="eastAsia" w:ascii="Times New Roman" w:hAnsi="Times New Roman" w:eastAsia="宋体" w:cs="宋体"/>
                <w:kern w:val="0"/>
                <w:sz w:val="21"/>
                <w:szCs w:val="21"/>
                <w:lang w:val="en-US" w:eastAsia="zh-CN" w:bidi="ar"/>
              </w:rPr>
              <w:t>项</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r>
              <w:rPr>
                <w:rFonts w:hint="default" w:ascii="Times New Roman" w:hAnsi="Times New Roman" w:eastAsia="宋体" w:cs="Times New Roman"/>
                <w:kern w:val="0"/>
                <w:sz w:val="21"/>
                <w:szCs w:val="21"/>
                <w:lang w:val="en-US" w:eastAsia="zh-CN" w:bidi="ar"/>
              </w:rPr>
              <w:t>1</w:t>
            </w:r>
          </w:p>
        </w:tc>
        <w:tc>
          <w:tcPr>
            <w:tcW w:w="122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eastAsia="宋体"/>
                <w:kern w:val="0"/>
                <w:szCs w:val="21"/>
                <w:lang w:val="en-US" w:eastAsia="zh-CN" w:bidi="ar"/>
              </w:rPr>
            </w:pPr>
          </w:p>
        </w:tc>
        <w:tc>
          <w:tcPr>
            <w:tcW w:w="1248"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eastAsia="宋体"/>
                <w:kern w:val="0"/>
                <w:szCs w:val="21"/>
                <w:lang w:val="en-US" w:eastAsia="zh-CN" w:bidi="ar"/>
              </w:rPr>
            </w:pPr>
          </w:p>
        </w:tc>
        <w:tc>
          <w:tcPr>
            <w:tcW w:w="123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eastAsia="宋体"/>
                <w:kern w:val="0"/>
                <w:szCs w:val="21"/>
                <w:lang w:val="en-US" w:eastAsia="zh-CN" w:bidi="ar"/>
              </w:rPr>
            </w:pPr>
          </w:p>
        </w:tc>
        <w:tc>
          <w:tcPr>
            <w:tcW w:w="123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eastAsia="宋体"/>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jc w:val="center"/>
        </w:trPr>
        <w:tc>
          <w:tcPr>
            <w:tcW w:w="60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r>
              <w:rPr>
                <w:rFonts w:hint="eastAsia" w:ascii="Times New Roman" w:hAnsi="Times New Roman" w:eastAsia="宋体" w:cs="宋体"/>
                <w:kern w:val="0"/>
                <w:sz w:val="21"/>
                <w:szCs w:val="21"/>
                <w:lang w:val="en-US" w:eastAsia="zh-CN" w:bidi="ar"/>
              </w:rPr>
              <w:t>总计</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p>
        </w:tc>
        <w:tc>
          <w:tcPr>
            <w:tcW w:w="123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kern w:val="0"/>
                <w:szCs w:val="21"/>
                <w:lang w:val="en-US" w:bidi="ar"/>
              </w:rPr>
            </w:pPr>
          </w:p>
        </w:tc>
      </w:tr>
    </w:tbl>
    <w:p>
      <w:pPr>
        <w:keepNext w:val="0"/>
        <w:keepLines w:val="0"/>
        <w:widowControl w:val="0"/>
        <w:suppressLineNumbers w:val="0"/>
        <w:adjustRightInd w:val="0"/>
        <w:snapToGrid w:val="0"/>
        <w:spacing w:before="0" w:beforeAutospacing="0" w:after="0" w:afterAutospacing="0"/>
        <w:ind w:left="0" w:right="0"/>
        <w:jc w:val="both"/>
        <w:rPr>
          <w:b/>
          <w:bCs/>
          <w:szCs w:val="21"/>
          <w:lang w:val="en-US"/>
        </w:rPr>
      </w:pPr>
      <w:r>
        <w:rPr>
          <w:rFonts w:hint="eastAsia" w:ascii="Times New Roman" w:hAnsi="Times New Roman" w:eastAsia="宋体" w:cs="宋体"/>
          <w:b/>
          <w:bCs/>
          <w:kern w:val="2"/>
          <w:sz w:val="21"/>
          <w:szCs w:val="21"/>
          <w:lang w:val="en-US" w:eastAsia="zh-CN" w:bidi="ar"/>
        </w:rPr>
        <w:t>备注：</w:t>
      </w:r>
      <w:r>
        <w:rPr>
          <w:rFonts w:hint="default" w:ascii="Times New Roman" w:hAnsi="Times New Roman" w:eastAsia="宋体" w:cs="Times New Roman"/>
          <w:b/>
          <w:bCs/>
          <w:kern w:val="2"/>
          <w:sz w:val="21"/>
          <w:szCs w:val="21"/>
          <w:lang w:val="en-US" w:eastAsia="zh-CN" w:bidi="ar"/>
        </w:rPr>
        <w:t>1.</w:t>
      </w:r>
      <w:r>
        <w:rPr>
          <w:rFonts w:hint="eastAsia" w:ascii="Times New Roman" w:hAnsi="Times New Roman" w:eastAsia="宋体" w:cs="宋体"/>
          <w:b/>
          <w:bCs/>
          <w:kern w:val="2"/>
          <w:sz w:val="21"/>
          <w:szCs w:val="21"/>
          <w:lang w:val="en-US" w:eastAsia="zh-CN" w:bidi="ar"/>
        </w:rPr>
        <w:t>所有报价保留小数点后两位，小数点后第三位</w:t>
      </w:r>
      <w:r>
        <w:rPr>
          <w:rFonts w:hint="default" w:ascii="Times New Roman" w:hAnsi="Times New Roman" w:eastAsia="宋体" w:cs="Times New Roman"/>
          <w:b/>
          <w:bCs/>
          <w:kern w:val="2"/>
          <w:sz w:val="21"/>
          <w:szCs w:val="21"/>
          <w:lang w:val="en-US" w:eastAsia="zh-CN" w:bidi="ar"/>
        </w:rPr>
        <w:t>“</w:t>
      </w:r>
      <w:r>
        <w:rPr>
          <w:rFonts w:hint="eastAsia" w:ascii="Times New Roman" w:hAnsi="Times New Roman" w:eastAsia="宋体" w:cs="宋体"/>
          <w:b/>
          <w:bCs/>
          <w:kern w:val="2"/>
          <w:sz w:val="21"/>
          <w:szCs w:val="21"/>
          <w:lang w:val="en-US" w:eastAsia="zh-CN" w:bidi="ar"/>
        </w:rPr>
        <w:t>四舍五入</w:t>
      </w:r>
      <w:r>
        <w:rPr>
          <w:rFonts w:hint="default" w:ascii="Times New Roman" w:hAnsi="Times New Roman" w:eastAsia="宋体" w:cs="Times New Roman"/>
          <w:b/>
          <w:bCs/>
          <w:kern w:val="2"/>
          <w:sz w:val="21"/>
          <w:szCs w:val="21"/>
          <w:lang w:val="en-US" w:eastAsia="zh-CN" w:bidi="ar"/>
        </w:rPr>
        <w:t>”</w:t>
      </w:r>
      <w:r>
        <w:rPr>
          <w:rFonts w:hint="eastAsia" w:ascii="Times New Roman" w:hAnsi="Times New Roman" w:eastAsia="宋体" w:cs="宋体"/>
          <w:b/>
          <w:bCs/>
          <w:kern w:val="2"/>
          <w:sz w:val="21"/>
          <w:szCs w:val="21"/>
          <w:lang w:val="en-US" w:eastAsia="zh-CN" w:bidi="ar"/>
        </w:rPr>
        <w:t>。</w:t>
      </w:r>
    </w:p>
    <w:p>
      <w:pPr>
        <w:keepNext w:val="0"/>
        <w:keepLines w:val="0"/>
        <w:widowControl w:val="0"/>
        <w:suppressLineNumbers w:val="0"/>
        <w:adjustRightInd w:val="0"/>
        <w:snapToGrid w:val="0"/>
        <w:spacing w:before="0" w:beforeAutospacing="0" w:after="0" w:afterAutospacing="0"/>
        <w:ind w:left="630" w:leftChars="300" w:right="0"/>
        <w:jc w:val="both"/>
        <w:rPr>
          <w:b/>
          <w:bCs/>
          <w:szCs w:val="21"/>
          <w:lang w:val="en-US"/>
        </w:rPr>
      </w:pPr>
      <w:r>
        <w:rPr>
          <w:rFonts w:hint="default" w:ascii="Times New Roman" w:hAnsi="Times New Roman" w:eastAsia="宋体" w:cs="Times New Roman"/>
          <w:b/>
          <w:bCs/>
          <w:kern w:val="2"/>
          <w:sz w:val="21"/>
          <w:szCs w:val="21"/>
          <w:lang w:val="en-US" w:eastAsia="zh-CN" w:bidi="ar"/>
        </w:rPr>
        <w:t>2.</w:t>
      </w:r>
      <w:r>
        <w:rPr>
          <w:rFonts w:hint="eastAsia" w:ascii="Times New Roman" w:hAnsi="Times New Roman" w:eastAsia="宋体" w:cs="宋体"/>
          <w:b/>
          <w:bCs/>
          <w:kern w:val="2"/>
          <w:sz w:val="21"/>
          <w:szCs w:val="21"/>
          <w:lang w:val="en-US" w:eastAsia="zh-CN" w:bidi="ar"/>
        </w:rPr>
        <w:t>本表的增值税税率应与《报价一览表》内增值税税率一致。</w:t>
      </w:r>
    </w:p>
    <w:p>
      <w:pPr>
        <w:keepNext w:val="0"/>
        <w:keepLines w:val="0"/>
        <w:widowControl w:val="0"/>
        <w:suppressLineNumbers w:val="0"/>
        <w:adjustRightInd w:val="0"/>
        <w:snapToGrid w:val="0"/>
        <w:spacing w:before="0" w:beforeAutospacing="0" w:after="0" w:afterAutospacing="0"/>
        <w:ind w:left="630" w:leftChars="300" w:right="0"/>
        <w:jc w:val="both"/>
        <w:rPr>
          <w:b/>
          <w:bCs/>
          <w:szCs w:val="21"/>
          <w:lang w:val="en-US"/>
        </w:rPr>
      </w:pPr>
      <w:r>
        <w:rPr>
          <w:rFonts w:hint="default" w:ascii="Times New Roman" w:hAnsi="Times New Roman" w:eastAsia="宋体" w:cs="Times New Roman"/>
          <w:b/>
          <w:bCs/>
          <w:kern w:val="2"/>
          <w:sz w:val="21"/>
          <w:szCs w:val="21"/>
          <w:lang w:val="en-US" w:eastAsia="zh-CN" w:bidi="ar"/>
        </w:rPr>
        <w:t>3.</w:t>
      </w:r>
      <w:r>
        <w:rPr>
          <w:rFonts w:hint="eastAsia" w:ascii="Times New Roman" w:hAnsi="Times New Roman" w:eastAsia="宋体" w:cs="宋体"/>
          <w:b/>
          <w:bCs/>
          <w:kern w:val="2"/>
          <w:sz w:val="21"/>
          <w:szCs w:val="21"/>
          <w:lang w:val="en-US" w:eastAsia="zh-CN" w:bidi="ar"/>
        </w:rPr>
        <w:t>报价需满足</w:t>
      </w:r>
      <w:r>
        <w:rPr>
          <w:rFonts w:hint="default" w:ascii="Times New Roman" w:hAnsi="Times New Roman" w:eastAsia="宋体" w:cs="Times New Roman"/>
          <w:b/>
          <w:bCs/>
          <w:kern w:val="2"/>
          <w:sz w:val="21"/>
          <w:szCs w:val="21"/>
          <w:lang w:val="en-US" w:eastAsia="zh-CN" w:bidi="ar"/>
        </w:rPr>
        <w:t>B=C*A</w:t>
      </w:r>
      <w:r>
        <w:rPr>
          <w:rFonts w:hint="eastAsia" w:ascii="Times New Roman" w:hAnsi="Times New Roman" w:eastAsia="宋体" w:cs="宋体"/>
          <w:b/>
          <w:bCs/>
          <w:kern w:val="2"/>
          <w:sz w:val="21"/>
          <w:szCs w:val="21"/>
          <w:lang w:val="en-US" w:eastAsia="zh-CN" w:bidi="ar"/>
        </w:rPr>
        <w:t>、</w:t>
      </w:r>
      <w:r>
        <w:rPr>
          <w:rFonts w:hint="default" w:ascii="Times New Roman" w:hAnsi="Times New Roman" w:eastAsia="宋体" w:cs="Times New Roman"/>
          <w:b/>
          <w:bCs/>
          <w:kern w:val="2"/>
          <w:sz w:val="21"/>
          <w:szCs w:val="21"/>
          <w:lang w:val="en-US" w:eastAsia="zh-CN" w:bidi="ar"/>
        </w:rPr>
        <w:t>D=B</w:t>
      </w:r>
      <w:r>
        <w:rPr>
          <w:rFonts w:hint="eastAsia" w:ascii="Times New Roman" w:hAnsi="Times New Roman" w:eastAsia="宋体" w:cs="宋体"/>
          <w:b/>
          <w:bCs/>
          <w:kern w:val="2"/>
          <w:sz w:val="21"/>
          <w:szCs w:val="21"/>
          <w:lang w:val="en-US" w:eastAsia="zh-CN" w:bidi="ar"/>
        </w:rPr>
        <w:t>＋</w:t>
      </w:r>
      <w:r>
        <w:rPr>
          <w:rFonts w:hint="default" w:ascii="Times New Roman" w:hAnsi="Times New Roman" w:eastAsia="宋体" w:cs="Times New Roman"/>
          <w:b/>
          <w:bCs/>
          <w:kern w:val="2"/>
          <w:sz w:val="21"/>
          <w:szCs w:val="21"/>
          <w:lang w:val="en-US" w:eastAsia="zh-CN" w:bidi="ar"/>
        </w:rPr>
        <w:t>C</w:t>
      </w:r>
      <w:r>
        <w:rPr>
          <w:rFonts w:hint="eastAsia" w:ascii="Times New Roman" w:hAnsi="Times New Roman" w:eastAsia="宋体" w:cs="宋体"/>
          <w:b/>
          <w:bCs/>
          <w:kern w:val="2"/>
          <w:sz w:val="21"/>
          <w:szCs w:val="21"/>
          <w:lang w:val="en-US" w:eastAsia="zh-CN" w:bidi="ar"/>
        </w:rPr>
        <w:t>。</w:t>
      </w:r>
    </w:p>
    <w:p>
      <w:pPr>
        <w:pStyle w:val="29"/>
        <w:adjustRightInd w:val="0"/>
        <w:snapToGrid w:val="0"/>
        <w:spacing w:line="360" w:lineRule="auto"/>
        <w:rPr>
          <w:rFonts w:ascii="宋体" w:hAnsi="宋体"/>
          <w:sz w:val="21"/>
          <w:szCs w:val="21"/>
        </w:rPr>
      </w:pPr>
    </w:p>
    <w:p>
      <w:pPr>
        <w:pStyle w:val="29"/>
        <w:adjustRightInd w:val="0"/>
        <w:snapToGrid w:val="0"/>
        <w:spacing w:line="360" w:lineRule="auto"/>
        <w:rPr>
          <w:rFonts w:ascii="宋体" w:hAnsi="宋体"/>
          <w:sz w:val="21"/>
          <w:szCs w:val="21"/>
        </w:rPr>
      </w:pPr>
    </w:p>
    <w:p>
      <w:pPr>
        <w:pStyle w:val="29"/>
        <w:adjustRightInd w:val="0"/>
        <w:snapToGrid w:val="0"/>
        <w:spacing w:line="360" w:lineRule="auto"/>
        <w:rPr>
          <w:rFonts w:ascii="宋体" w:hAnsi="宋体"/>
          <w:sz w:val="21"/>
          <w:szCs w:val="21"/>
        </w:rPr>
      </w:pPr>
    </w:p>
    <w:p>
      <w:pPr>
        <w:pStyle w:val="29"/>
        <w:adjustRightInd w:val="0"/>
        <w:snapToGrid w:val="0"/>
        <w:spacing w:line="360" w:lineRule="auto"/>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w:t>
      </w:r>
      <w:bookmarkEnd w:id="134"/>
      <w:r>
        <w:rPr>
          <w:rFonts w:hint="eastAsia" w:ascii="宋体" w:hAnsi="宋体"/>
          <w:sz w:val="21"/>
          <w:szCs w:val="21"/>
          <w:u w:val="single"/>
        </w:rPr>
        <w:t xml:space="preserve">    </w:t>
      </w:r>
    </w:p>
    <w:p>
      <w:pPr>
        <w:adjustRightInd w:val="0"/>
        <w:snapToGrid w:val="0"/>
        <w:spacing w:line="360" w:lineRule="auto"/>
        <w:rPr>
          <w:rFonts w:ascii="宋体" w:hAnsi="宋体"/>
          <w:szCs w:val="21"/>
        </w:rPr>
      </w:pPr>
      <w:bookmarkStart w:id="135" w:name="_Toc28605"/>
      <w:r>
        <w:rPr>
          <w:rFonts w:hint="eastAsia" w:ascii="宋体" w:hAnsi="宋体"/>
          <w:szCs w:val="21"/>
        </w:rPr>
        <w:t>法定代表人或其委托代理人(签字或盖章)：</w:t>
      </w:r>
      <w:bookmarkEnd w:id="135"/>
      <w:r>
        <w:rPr>
          <w:rFonts w:hint="eastAsia" w:ascii="宋体" w:hAnsi="宋体"/>
          <w:szCs w:val="21"/>
          <w:u w:val="single"/>
        </w:rPr>
        <w:t xml:space="preserve">               </w:t>
      </w:r>
    </w:p>
    <w:p>
      <w:pPr>
        <w:spacing w:line="360" w:lineRule="auto"/>
        <w:rPr>
          <w:rFonts w:ascii="黑体" w:eastAsia="黑体"/>
          <w:b/>
          <w:bCs/>
          <w:sz w:val="32"/>
          <w:szCs w:val="32"/>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jc w:val="center"/>
        <w:rPr>
          <w:rFonts w:ascii="黑体" w:eastAsia="黑体"/>
          <w:b/>
          <w:bCs/>
          <w:sz w:val="32"/>
          <w:szCs w:val="32"/>
        </w:rPr>
        <w:sectPr>
          <w:pgSz w:w="11906" w:h="16838"/>
          <w:pgMar w:top="2098" w:right="1474" w:bottom="1984" w:left="1587" w:header="851" w:footer="992" w:gutter="0"/>
          <w:pgNumType w:fmt="decimal"/>
          <w:cols w:space="0" w:num="1"/>
          <w:docGrid w:type="lines" w:linePitch="319" w:charSpace="0"/>
        </w:sectPr>
      </w:pPr>
    </w:p>
    <w:p>
      <w:pPr>
        <w:adjustRightInd w:val="0"/>
        <w:snapToGrid w:val="0"/>
        <w:spacing w:line="360" w:lineRule="auto"/>
        <w:ind w:right="24"/>
        <w:jc w:val="center"/>
        <w:outlineLvl w:val="1"/>
        <w:rPr>
          <w:rFonts w:ascii="宋体" w:hAnsi="宋体" w:cs="宋体"/>
          <w:b/>
          <w:sz w:val="32"/>
          <w:szCs w:val="32"/>
        </w:rPr>
      </w:pPr>
      <w:bookmarkStart w:id="136" w:name="_Toc22739"/>
      <w:bookmarkStart w:id="137" w:name="_Toc9077"/>
      <w:bookmarkStart w:id="138" w:name="_Toc27585"/>
      <w:bookmarkStart w:id="139" w:name="_Toc9958"/>
      <w:bookmarkStart w:id="140" w:name="_Toc27918"/>
      <w:r>
        <w:rPr>
          <w:rFonts w:hint="eastAsia" w:ascii="宋体" w:hAnsi="宋体" w:cs="宋体"/>
          <w:b/>
          <w:sz w:val="32"/>
          <w:szCs w:val="32"/>
          <w:lang w:val="en-US" w:eastAsia="zh-CN"/>
        </w:rPr>
        <w:t>八</w:t>
      </w:r>
      <w:r>
        <w:rPr>
          <w:rFonts w:hint="eastAsia" w:ascii="宋体" w:hAnsi="宋体" w:cs="宋体"/>
          <w:b/>
          <w:sz w:val="32"/>
          <w:szCs w:val="32"/>
        </w:rPr>
        <w:t>、其他资料</w:t>
      </w:r>
      <w:bookmarkEnd w:id="136"/>
      <w:bookmarkEnd w:id="137"/>
      <w:bookmarkEnd w:id="138"/>
      <w:r>
        <w:rPr>
          <w:rFonts w:hint="eastAsia" w:ascii="宋体" w:hAnsi="宋体" w:cs="宋体"/>
          <w:b/>
          <w:sz w:val="32"/>
          <w:szCs w:val="32"/>
        </w:rPr>
        <w:t>（如有）</w:t>
      </w:r>
      <w:bookmarkEnd w:id="139"/>
      <w:bookmarkEnd w:id="140"/>
    </w:p>
    <w:p>
      <w:pPr>
        <w:adjustRightInd w:val="0"/>
        <w:snapToGrid w:val="0"/>
        <w:spacing w:before="159" w:beforeLines="50" w:line="360" w:lineRule="auto"/>
        <w:ind w:firstLine="420" w:firstLineChars="200"/>
        <w:jc w:val="left"/>
        <w:rPr>
          <w:rFonts w:ascii="宋体" w:hAnsi="宋体"/>
          <w:szCs w:val="21"/>
        </w:rPr>
      </w:pPr>
      <w:bookmarkStart w:id="141" w:name="_Toc22084"/>
      <w:bookmarkStart w:id="142" w:name="_Toc10648"/>
      <w:bookmarkStart w:id="143" w:name="_Toc18188"/>
      <w:bookmarkStart w:id="144" w:name="_Toc5412"/>
      <w:r>
        <w:rPr>
          <w:rFonts w:hint="eastAsia" w:ascii="宋体" w:hAnsi="宋体"/>
          <w:szCs w:val="21"/>
        </w:rPr>
        <w:t>谈判单位认为需要提供的其他</w:t>
      </w:r>
      <w:r>
        <w:rPr>
          <w:rFonts w:hint="eastAsia" w:ascii="宋体" w:hAnsi="宋体"/>
          <w:color w:val="auto"/>
          <w:szCs w:val="21"/>
        </w:rPr>
        <w:t>谈判</w:t>
      </w:r>
      <w:r>
        <w:rPr>
          <w:rFonts w:hint="eastAsia" w:ascii="宋体" w:hAnsi="宋体"/>
          <w:szCs w:val="21"/>
        </w:rPr>
        <w:t>资料，格式自拟。</w:t>
      </w:r>
      <w:bookmarkEnd w:id="141"/>
      <w:bookmarkEnd w:id="142"/>
      <w:bookmarkEnd w:id="143"/>
      <w:bookmarkEnd w:id="144"/>
    </w:p>
    <w:sectPr>
      <w:pgSz w:w="11906" w:h="16838"/>
      <w:pgMar w:top="2098" w:right="1474" w:bottom="1984" w:left="1587"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p>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p>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p>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69D74"/>
    <w:multiLevelType w:val="singleLevel"/>
    <w:tmpl w:val="A7F69D74"/>
    <w:lvl w:ilvl="0" w:tentative="0">
      <w:start w:val="1"/>
      <w:numFmt w:val="decimal"/>
      <w:suff w:val="nothing"/>
      <w:lvlText w:val="%1．"/>
      <w:lvlJc w:val="left"/>
      <w:pPr>
        <w:ind w:left="0" w:firstLine="400"/>
      </w:pPr>
      <w:rPr>
        <w:rFonts w:hint="default"/>
      </w:rPr>
    </w:lvl>
  </w:abstractNum>
  <w:abstractNum w:abstractNumId="1">
    <w:nsid w:val="AF42D0C1"/>
    <w:multiLevelType w:val="singleLevel"/>
    <w:tmpl w:val="AF42D0C1"/>
    <w:lvl w:ilvl="0" w:tentative="0">
      <w:start w:val="1"/>
      <w:numFmt w:val="decimal"/>
      <w:lvlText w:val="(%1)"/>
      <w:lvlJc w:val="left"/>
      <w:pPr>
        <w:ind w:left="425" w:hanging="425"/>
      </w:pPr>
      <w:rPr>
        <w:rFonts w:hint="default"/>
      </w:rPr>
    </w:lvl>
  </w:abstractNum>
  <w:abstractNum w:abstractNumId="2">
    <w:nsid w:val="B2B2FE05"/>
    <w:multiLevelType w:val="singleLevel"/>
    <w:tmpl w:val="B2B2FE05"/>
    <w:lvl w:ilvl="0" w:tentative="0">
      <w:start w:val="1"/>
      <w:numFmt w:val="decimal"/>
      <w:suff w:val="nothing"/>
      <w:lvlText w:val="%1．"/>
      <w:lvlJc w:val="left"/>
      <w:pPr>
        <w:ind w:left="0" w:firstLine="400"/>
      </w:pPr>
      <w:rPr>
        <w:rFonts w:hint="default"/>
      </w:rPr>
    </w:lvl>
  </w:abstractNum>
  <w:abstractNum w:abstractNumId="3">
    <w:nsid w:val="C29E6077"/>
    <w:multiLevelType w:val="singleLevel"/>
    <w:tmpl w:val="C29E6077"/>
    <w:lvl w:ilvl="0" w:tentative="0">
      <w:start w:val="1"/>
      <w:numFmt w:val="decimal"/>
      <w:lvlText w:val="(%1)"/>
      <w:lvlJc w:val="left"/>
      <w:pPr>
        <w:ind w:left="425" w:hanging="425"/>
      </w:pPr>
      <w:rPr>
        <w:rFonts w:hint="default"/>
      </w:rPr>
    </w:lvl>
  </w:abstractNum>
  <w:abstractNum w:abstractNumId="4">
    <w:nsid w:val="D3285168"/>
    <w:multiLevelType w:val="singleLevel"/>
    <w:tmpl w:val="D3285168"/>
    <w:lvl w:ilvl="0" w:tentative="0">
      <w:start w:val="1"/>
      <w:numFmt w:val="decimal"/>
      <w:suff w:val="nothing"/>
      <w:lvlText w:val="%1．"/>
      <w:lvlJc w:val="left"/>
      <w:pPr>
        <w:ind w:left="0" w:firstLine="400"/>
      </w:pPr>
      <w:rPr>
        <w:rFonts w:hint="default"/>
      </w:rPr>
    </w:lvl>
  </w:abstractNum>
  <w:abstractNum w:abstractNumId="5">
    <w:nsid w:val="F6733FC5"/>
    <w:multiLevelType w:val="singleLevel"/>
    <w:tmpl w:val="F6733FC5"/>
    <w:lvl w:ilvl="0" w:tentative="0">
      <w:start w:val="1"/>
      <w:numFmt w:val="decimal"/>
      <w:suff w:val="nothing"/>
      <w:lvlText w:val="%1．"/>
      <w:lvlJc w:val="left"/>
      <w:pPr>
        <w:ind w:left="0" w:firstLine="400"/>
      </w:pPr>
      <w:rPr>
        <w:rFonts w:hint="default"/>
      </w:rPr>
    </w:lvl>
  </w:abstractNum>
  <w:abstractNum w:abstractNumId="6">
    <w:nsid w:val="FE293A88"/>
    <w:multiLevelType w:val="singleLevel"/>
    <w:tmpl w:val="FE293A88"/>
    <w:lvl w:ilvl="0" w:tentative="0">
      <w:start w:val="3"/>
      <w:numFmt w:val="chineseCounting"/>
      <w:pStyle w:val="359"/>
      <w:suff w:val="nothing"/>
      <w:lvlText w:val="%1、"/>
      <w:lvlJc w:val="left"/>
      <w:rPr>
        <w:rFonts w:hint="eastAsia"/>
      </w:rPr>
    </w:lvl>
  </w:abstractNum>
  <w:abstractNum w:abstractNumId="7">
    <w:nsid w:val="00000006"/>
    <w:multiLevelType w:val="multilevel"/>
    <w:tmpl w:val="00000006"/>
    <w:lvl w:ilvl="0" w:tentative="0">
      <w:start w:val="1"/>
      <w:numFmt w:val="decimal"/>
      <w:pStyle w:val="247"/>
      <w:lvlText w:val="%1"/>
      <w:lvlJc w:val="left"/>
      <w:pPr>
        <w:tabs>
          <w:tab w:val="left" w:pos="2238"/>
        </w:tabs>
        <w:ind w:left="2238" w:hanging="432"/>
      </w:pPr>
      <w:rPr>
        <w:rFonts w:hint="default"/>
        <w:u w:val="none"/>
      </w:rPr>
    </w:lvl>
    <w:lvl w:ilvl="1" w:tentative="0">
      <w:start w:val="1"/>
      <w:numFmt w:val="decimal"/>
      <w:pStyle w:val="323"/>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8">
    <w:nsid w:val="0B70834F"/>
    <w:multiLevelType w:val="singleLevel"/>
    <w:tmpl w:val="0B70834F"/>
    <w:lvl w:ilvl="0" w:tentative="0">
      <w:start w:val="1"/>
      <w:numFmt w:val="decimal"/>
      <w:suff w:val="nothing"/>
      <w:lvlText w:val="%1．"/>
      <w:lvlJc w:val="left"/>
      <w:pPr>
        <w:ind w:left="0" w:firstLine="400"/>
      </w:pPr>
      <w:rPr>
        <w:rFonts w:hint="default"/>
      </w:rPr>
    </w:lvl>
  </w:abstractNum>
  <w:abstractNum w:abstractNumId="9">
    <w:nsid w:val="0BEDCE8E"/>
    <w:multiLevelType w:val="singleLevel"/>
    <w:tmpl w:val="0BEDCE8E"/>
    <w:lvl w:ilvl="0" w:tentative="0">
      <w:start w:val="1"/>
      <w:numFmt w:val="decimal"/>
      <w:suff w:val="nothing"/>
      <w:lvlText w:val="%1．"/>
      <w:lvlJc w:val="left"/>
      <w:pPr>
        <w:ind w:left="0" w:firstLine="400"/>
      </w:pPr>
      <w:rPr>
        <w:rFonts w:hint="default"/>
      </w:rPr>
    </w:lvl>
  </w:abstractNum>
  <w:abstractNum w:abstractNumId="10">
    <w:nsid w:val="0D1516BE"/>
    <w:multiLevelType w:val="multilevel"/>
    <w:tmpl w:val="0D1516BE"/>
    <w:lvl w:ilvl="0" w:tentative="0">
      <w:start w:val="1"/>
      <w:numFmt w:val="chineseCountingThousand"/>
      <w:pStyle w:val="363"/>
      <w:suff w:val="space"/>
      <w:lvlText w:val="(%1)"/>
      <w:lvlJc w:val="left"/>
      <w:pPr>
        <w:ind w:left="640" w:firstLine="0"/>
      </w:pPr>
      <w:rPr>
        <w:rFonts w:hint="eastAsia" w:ascii="楷体_GB2312" w:eastAsia="楷体_GB2312"/>
        <w:sz w:val="32"/>
        <w:szCs w:val="32"/>
      </w:rPr>
    </w:lvl>
    <w:lvl w:ilvl="1" w:tentative="0">
      <w:start w:val="1"/>
      <w:numFmt w:val="lowerLetter"/>
      <w:pStyle w:val="358"/>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16516015"/>
    <w:multiLevelType w:val="multilevel"/>
    <w:tmpl w:val="16516015"/>
    <w:lvl w:ilvl="0" w:tentative="0">
      <w:start w:val="1"/>
      <w:numFmt w:val="chineseCountingThousand"/>
      <w:pStyle w:val="361"/>
      <w:suff w:val="space"/>
      <w:lvlText w:val="(%1)"/>
      <w:lvlJc w:val="left"/>
      <w:pPr>
        <w:ind w:left="0" w:firstLine="0"/>
      </w:pPr>
      <w:rPr>
        <w:rFonts w:hint="eastAsia" w:ascii="楷体_GB2312" w:eastAsia="楷体_GB2312"/>
        <w:sz w:val="32"/>
        <w:szCs w:val="32"/>
      </w:rPr>
    </w:lvl>
    <w:lvl w:ilvl="1" w:tentative="0">
      <w:start w:val="1"/>
      <w:numFmt w:val="lowerLetter"/>
      <w:pStyle w:val="360"/>
      <w:lvlText w:val="%2)"/>
      <w:lvlJc w:val="left"/>
      <w:pPr>
        <w:ind w:left="840" w:hanging="420"/>
      </w:pPr>
    </w:lvl>
    <w:lvl w:ilvl="2" w:tentative="0">
      <w:start w:val="1"/>
      <w:numFmt w:val="lowerRoman"/>
      <w:pStyle w:val="36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C12CAFF"/>
    <w:multiLevelType w:val="singleLevel"/>
    <w:tmpl w:val="1C12CAFF"/>
    <w:lvl w:ilvl="0" w:tentative="0">
      <w:start w:val="1"/>
      <w:numFmt w:val="decimal"/>
      <w:suff w:val="nothing"/>
      <w:lvlText w:val="%1．"/>
      <w:lvlJc w:val="left"/>
      <w:pPr>
        <w:ind w:left="0" w:firstLine="400"/>
      </w:pPr>
      <w:rPr>
        <w:rFonts w:hint="default"/>
      </w:rPr>
    </w:lvl>
  </w:abstractNum>
  <w:abstractNum w:abstractNumId="13">
    <w:nsid w:val="269FB15F"/>
    <w:multiLevelType w:val="singleLevel"/>
    <w:tmpl w:val="269FB15F"/>
    <w:lvl w:ilvl="0" w:tentative="0">
      <w:start w:val="1"/>
      <w:numFmt w:val="chineseCounting"/>
      <w:suff w:val="nothing"/>
      <w:lvlText w:val="%1、"/>
      <w:lvlJc w:val="left"/>
      <w:pPr>
        <w:ind w:left="0" w:firstLine="420"/>
      </w:pPr>
      <w:rPr>
        <w:rFonts w:hint="eastAsia"/>
      </w:rPr>
    </w:lvl>
  </w:abstractNum>
  <w:abstractNum w:abstractNumId="14">
    <w:nsid w:val="28838A2B"/>
    <w:multiLevelType w:val="singleLevel"/>
    <w:tmpl w:val="28838A2B"/>
    <w:lvl w:ilvl="0" w:tentative="0">
      <w:start w:val="1"/>
      <w:numFmt w:val="chineseCounting"/>
      <w:suff w:val="nothing"/>
      <w:lvlText w:val="%1、"/>
      <w:lvlJc w:val="left"/>
      <w:pPr>
        <w:ind w:left="0" w:firstLine="420"/>
      </w:pPr>
      <w:rPr>
        <w:rFonts w:hint="eastAsia"/>
      </w:rPr>
    </w:lvl>
  </w:abstractNum>
  <w:abstractNum w:abstractNumId="15">
    <w:nsid w:val="5B7454C8"/>
    <w:multiLevelType w:val="singleLevel"/>
    <w:tmpl w:val="5B7454C8"/>
    <w:lvl w:ilvl="0" w:tentative="0">
      <w:start w:val="1"/>
      <w:numFmt w:val="decimal"/>
      <w:suff w:val="nothing"/>
      <w:lvlText w:val="%1．"/>
      <w:lvlJc w:val="left"/>
      <w:pPr>
        <w:ind w:left="0" w:firstLine="400"/>
      </w:pPr>
      <w:rPr>
        <w:rFonts w:hint="default"/>
      </w:rPr>
    </w:lvl>
  </w:abstractNum>
  <w:abstractNum w:abstractNumId="16">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4"/>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7"/>
  </w:num>
  <w:num w:numId="2">
    <w:abstractNumId w:val="10"/>
  </w:num>
  <w:num w:numId="3">
    <w:abstractNumId w:val="6"/>
  </w:num>
  <w:num w:numId="4">
    <w:abstractNumId w:val="11"/>
  </w:num>
  <w:num w:numId="5">
    <w:abstractNumId w:val="16"/>
  </w:num>
  <w:num w:numId="6">
    <w:abstractNumId w:val="13"/>
  </w:num>
  <w:num w:numId="7">
    <w:abstractNumId w:val="2"/>
  </w:num>
  <w:num w:numId="8">
    <w:abstractNumId w:val="12"/>
  </w:num>
  <w:num w:numId="9">
    <w:abstractNumId w:val="8"/>
  </w:num>
  <w:num w:numId="10">
    <w:abstractNumId w:val="9"/>
  </w:num>
  <w:num w:numId="11">
    <w:abstractNumId w:val="1"/>
  </w:num>
  <w:num w:numId="12">
    <w:abstractNumId w:val="5"/>
  </w:num>
  <w:num w:numId="13">
    <w:abstractNumId w:val="0"/>
  </w:num>
  <w:num w:numId="14">
    <w:abstractNumId w:val="4"/>
  </w:num>
  <w:num w:numId="15">
    <w:abstractNumId w:val="3"/>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xYTIzOTgwYmJiNDY4NWUwNDNlYzQ5YTA3MDEzOWMifQ=="/>
  </w:docVars>
  <w:rsids>
    <w:rsidRoot w:val="00172A27"/>
    <w:rsid w:val="00005EC9"/>
    <w:rsid w:val="00006D21"/>
    <w:rsid w:val="00016902"/>
    <w:rsid w:val="000274C6"/>
    <w:rsid w:val="00052640"/>
    <w:rsid w:val="00063D15"/>
    <w:rsid w:val="00074928"/>
    <w:rsid w:val="00091C9D"/>
    <w:rsid w:val="000C106E"/>
    <w:rsid w:val="000C21C5"/>
    <w:rsid w:val="000E0193"/>
    <w:rsid w:val="000E7968"/>
    <w:rsid w:val="000F4DE1"/>
    <w:rsid w:val="00115FE6"/>
    <w:rsid w:val="00116BAE"/>
    <w:rsid w:val="001453A1"/>
    <w:rsid w:val="00162D59"/>
    <w:rsid w:val="00172A27"/>
    <w:rsid w:val="00186162"/>
    <w:rsid w:val="0019086A"/>
    <w:rsid w:val="001C23BF"/>
    <w:rsid w:val="001D6D72"/>
    <w:rsid w:val="001E02FE"/>
    <w:rsid w:val="002067E8"/>
    <w:rsid w:val="002069C8"/>
    <w:rsid w:val="002117C9"/>
    <w:rsid w:val="002139EB"/>
    <w:rsid w:val="0022188F"/>
    <w:rsid w:val="00222DFA"/>
    <w:rsid w:val="00230A1A"/>
    <w:rsid w:val="002314A3"/>
    <w:rsid w:val="002371E9"/>
    <w:rsid w:val="00237FEC"/>
    <w:rsid w:val="002504FF"/>
    <w:rsid w:val="002523FD"/>
    <w:rsid w:val="0025312F"/>
    <w:rsid w:val="00255546"/>
    <w:rsid w:val="00286014"/>
    <w:rsid w:val="002B1D56"/>
    <w:rsid w:val="002F262C"/>
    <w:rsid w:val="00306794"/>
    <w:rsid w:val="003102A2"/>
    <w:rsid w:val="003268C0"/>
    <w:rsid w:val="00331810"/>
    <w:rsid w:val="003469C0"/>
    <w:rsid w:val="00372ECC"/>
    <w:rsid w:val="00375CC4"/>
    <w:rsid w:val="00380064"/>
    <w:rsid w:val="00381105"/>
    <w:rsid w:val="00381BB4"/>
    <w:rsid w:val="003958B2"/>
    <w:rsid w:val="0039632C"/>
    <w:rsid w:val="003B1109"/>
    <w:rsid w:val="003D080C"/>
    <w:rsid w:val="003D6204"/>
    <w:rsid w:val="003F46A7"/>
    <w:rsid w:val="004014FD"/>
    <w:rsid w:val="004129B9"/>
    <w:rsid w:val="00423B85"/>
    <w:rsid w:val="004263EB"/>
    <w:rsid w:val="00426543"/>
    <w:rsid w:val="00453EE9"/>
    <w:rsid w:val="0045503A"/>
    <w:rsid w:val="0046304B"/>
    <w:rsid w:val="00473865"/>
    <w:rsid w:val="0048093D"/>
    <w:rsid w:val="00495DBC"/>
    <w:rsid w:val="00495F57"/>
    <w:rsid w:val="004978CA"/>
    <w:rsid w:val="004B3D80"/>
    <w:rsid w:val="004B41B1"/>
    <w:rsid w:val="00500B91"/>
    <w:rsid w:val="00504DED"/>
    <w:rsid w:val="00526589"/>
    <w:rsid w:val="00545140"/>
    <w:rsid w:val="0055214F"/>
    <w:rsid w:val="005537C6"/>
    <w:rsid w:val="005556A5"/>
    <w:rsid w:val="0056117D"/>
    <w:rsid w:val="0056143E"/>
    <w:rsid w:val="005837A3"/>
    <w:rsid w:val="0058523E"/>
    <w:rsid w:val="0058754B"/>
    <w:rsid w:val="005C688B"/>
    <w:rsid w:val="005E6BBB"/>
    <w:rsid w:val="005F037B"/>
    <w:rsid w:val="005F4513"/>
    <w:rsid w:val="00607C42"/>
    <w:rsid w:val="00641E72"/>
    <w:rsid w:val="00642B10"/>
    <w:rsid w:val="00654D1D"/>
    <w:rsid w:val="0066697A"/>
    <w:rsid w:val="00677C6C"/>
    <w:rsid w:val="0068504A"/>
    <w:rsid w:val="0068515F"/>
    <w:rsid w:val="00687C87"/>
    <w:rsid w:val="006B467A"/>
    <w:rsid w:val="006B6300"/>
    <w:rsid w:val="006D0A13"/>
    <w:rsid w:val="006E025D"/>
    <w:rsid w:val="006F5FAC"/>
    <w:rsid w:val="00707592"/>
    <w:rsid w:val="0070784A"/>
    <w:rsid w:val="00730CC6"/>
    <w:rsid w:val="00740D0D"/>
    <w:rsid w:val="007656DC"/>
    <w:rsid w:val="007821C6"/>
    <w:rsid w:val="0078370F"/>
    <w:rsid w:val="00787C0E"/>
    <w:rsid w:val="00793ABB"/>
    <w:rsid w:val="0079784E"/>
    <w:rsid w:val="007D0446"/>
    <w:rsid w:val="007F3811"/>
    <w:rsid w:val="00802770"/>
    <w:rsid w:val="0081382B"/>
    <w:rsid w:val="00820369"/>
    <w:rsid w:val="0084147A"/>
    <w:rsid w:val="00842E06"/>
    <w:rsid w:val="0084367C"/>
    <w:rsid w:val="008511F3"/>
    <w:rsid w:val="00864C78"/>
    <w:rsid w:val="008B6242"/>
    <w:rsid w:val="008C7C9F"/>
    <w:rsid w:val="008D7CB4"/>
    <w:rsid w:val="00901FFA"/>
    <w:rsid w:val="00915948"/>
    <w:rsid w:val="00923E97"/>
    <w:rsid w:val="009407F4"/>
    <w:rsid w:val="009955C7"/>
    <w:rsid w:val="009A0679"/>
    <w:rsid w:val="009A5642"/>
    <w:rsid w:val="009B5270"/>
    <w:rsid w:val="009C10AF"/>
    <w:rsid w:val="009D41D7"/>
    <w:rsid w:val="009D7D4A"/>
    <w:rsid w:val="009E03FD"/>
    <w:rsid w:val="009E2384"/>
    <w:rsid w:val="00A34DC1"/>
    <w:rsid w:val="00A41E73"/>
    <w:rsid w:val="00A46FA2"/>
    <w:rsid w:val="00A618F2"/>
    <w:rsid w:val="00A61CCE"/>
    <w:rsid w:val="00A92B7C"/>
    <w:rsid w:val="00AA1709"/>
    <w:rsid w:val="00AA21B6"/>
    <w:rsid w:val="00AB013C"/>
    <w:rsid w:val="00AC26D2"/>
    <w:rsid w:val="00AD758B"/>
    <w:rsid w:val="00AF11ED"/>
    <w:rsid w:val="00B01BA0"/>
    <w:rsid w:val="00B2613B"/>
    <w:rsid w:val="00B32406"/>
    <w:rsid w:val="00B74689"/>
    <w:rsid w:val="00B82298"/>
    <w:rsid w:val="00B832A9"/>
    <w:rsid w:val="00B92FA2"/>
    <w:rsid w:val="00BD47EB"/>
    <w:rsid w:val="00BD51DE"/>
    <w:rsid w:val="00BE15B5"/>
    <w:rsid w:val="00C0069B"/>
    <w:rsid w:val="00C1468A"/>
    <w:rsid w:val="00C20479"/>
    <w:rsid w:val="00C21D69"/>
    <w:rsid w:val="00C24579"/>
    <w:rsid w:val="00C26D33"/>
    <w:rsid w:val="00C34E11"/>
    <w:rsid w:val="00C532E5"/>
    <w:rsid w:val="00C57914"/>
    <w:rsid w:val="00C6008B"/>
    <w:rsid w:val="00C668B4"/>
    <w:rsid w:val="00C758E3"/>
    <w:rsid w:val="00C84172"/>
    <w:rsid w:val="00CB534B"/>
    <w:rsid w:val="00CE51F2"/>
    <w:rsid w:val="00CE631C"/>
    <w:rsid w:val="00CE703D"/>
    <w:rsid w:val="00CF0192"/>
    <w:rsid w:val="00CF040C"/>
    <w:rsid w:val="00D069C6"/>
    <w:rsid w:val="00D164FE"/>
    <w:rsid w:val="00D31733"/>
    <w:rsid w:val="00D40D79"/>
    <w:rsid w:val="00D43330"/>
    <w:rsid w:val="00D45708"/>
    <w:rsid w:val="00D6362F"/>
    <w:rsid w:val="00D84A7F"/>
    <w:rsid w:val="00D95761"/>
    <w:rsid w:val="00D958E3"/>
    <w:rsid w:val="00DA51BD"/>
    <w:rsid w:val="00DE5673"/>
    <w:rsid w:val="00DF363F"/>
    <w:rsid w:val="00E24889"/>
    <w:rsid w:val="00E32EEF"/>
    <w:rsid w:val="00E342DB"/>
    <w:rsid w:val="00E5084D"/>
    <w:rsid w:val="00E74692"/>
    <w:rsid w:val="00E761DC"/>
    <w:rsid w:val="00E77817"/>
    <w:rsid w:val="00E944EE"/>
    <w:rsid w:val="00EC7F43"/>
    <w:rsid w:val="00EF6911"/>
    <w:rsid w:val="00F00894"/>
    <w:rsid w:val="00F02213"/>
    <w:rsid w:val="00F175B5"/>
    <w:rsid w:val="00F338DB"/>
    <w:rsid w:val="00F37996"/>
    <w:rsid w:val="00F410E0"/>
    <w:rsid w:val="00F52B22"/>
    <w:rsid w:val="00F579E9"/>
    <w:rsid w:val="00FA17B5"/>
    <w:rsid w:val="00FA6734"/>
    <w:rsid w:val="00FE331E"/>
    <w:rsid w:val="00FE3699"/>
    <w:rsid w:val="00FE6AFF"/>
    <w:rsid w:val="011E3D92"/>
    <w:rsid w:val="0123584C"/>
    <w:rsid w:val="01375331"/>
    <w:rsid w:val="01403F6F"/>
    <w:rsid w:val="014D6F55"/>
    <w:rsid w:val="01791910"/>
    <w:rsid w:val="01873122"/>
    <w:rsid w:val="01932790"/>
    <w:rsid w:val="01D94140"/>
    <w:rsid w:val="01EA6EEC"/>
    <w:rsid w:val="01F95304"/>
    <w:rsid w:val="01FA47FF"/>
    <w:rsid w:val="021B19D1"/>
    <w:rsid w:val="02263AD9"/>
    <w:rsid w:val="023870D5"/>
    <w:rsid w:val="024C0DC0"/>
    <w:rsid w:val="02787973"/>
    <w:rsid w:val="02787D91"/>
    <w:rsid w:val="029749D1"/>
    <w:rsid w:val="029A1968"/>
    <w:rsid w:val="02A84E4A"/>
    <w:rsid w:val="02AB7973"/>
    <w:rsid w:val="02BF5617"/>
    <w:rsid w:val="02DF0C01"/>
    <w:rsid w:val="02FB4FEB"/>
    <w:rsid w:val="03190CB5"/>
    <w:rsid w:val="036A7762"/>
    <w:rsid w:val="03727DAF"/>
    <w:rsid w:val="037C1244"/>
    <w:rsid w:val="03C055D4"/>
    <w:rsid w:val="03D41287"/>
    <w:rsid w:val="03F31A5E"/>
    <w:rsid w:val="03F91117"/>
    <w:rsid w:val="03FC0CEA"/>
    <w:rsid w:val="04107C23"/>
    <w:rsid w:val="04240981"/>
    <w:rsid w:val="042B3AFB"/>
    <w:rsid w:val="04472782"/>
    <w:rsid w:val="049071F4"/>
    <w:rsid w:val="04AD08F2"/>
    <w:rsid w:val="04EE0D07"/>
    <w:rsid w:val="05031B6B"/>
    <w:rsid w:val="05292583"/>
    <w:rsid w:val="054E6891"/>
    <w:rsid w:val="055967E4"/>
    <w:rsid w:val="057228FE"/>
    <w:rsid w:val="05B01562"/>
    <w:rsid w:val="05BA17D7"/>
    <w:rsid w:val="05BA6ECD"/>
    <w:rsid w:val="05CA44E8"/>
    <w:rsid w:val="05DC14A7"/>
    <w:rsid w:val="05E36661"/>
    <w:rsid w:val="05EB6762"/>
    <w:rsid w:val="05F607BC"/>
    <w:rsid w:val="05F777CC"/>
    <w:rsid w:val="061842D1"/>
    <w:rsid w:val="062F07EF"/>
    <w:rsid w:val="067362CB"/>
    <w:rsid w:val="067428EB"/>
    <w:rsid w:val="0676319E"/>
    <w:rsid w:val="067B6F39"/>
    <w:rsid w:val="069C40D7"/>
    <w:rsid w:val="06A765D7"/>
    <w:rsid w:val="06C96275"/>
    <w:rsid w:val="06D118A6"/>
    <w:rsid w:val="06D605B3"/>
    <w:rsid w:val="06F105E4"/>
    <w:rsid w:val="06FA0280"/>
    <w:rsid w:val="07076C16"/>
    <w:rsid w:val="070C68F7"/>
    <w:rsid w:val="071C6A43"/>
    <w:rsid w:val="071F0B70"/>
    <w:rsid w:val="072B22BC"/>
    <w:rsid w:val="074C43F1"/>
    <w:rsid w:val="07650D5D"/>
    <w:rsid w:val="076619FA"/>
    <w:rsid w:val="07A76048"/>
    <w:rsid w:val="07B16F85"/>
    <w:rsid w:val="07C94578"/>
    <w:rsid w:val="07F615C4"/>
    <w:rsid w:val="08232382"/>
    <w:rsid w:val="08246E93"/>
    <w:rsid w:val="082F5114"/>
    <w:rsid w:val="083D23B2"/>
    <w:rsid w:val="08534C69"/>
    <w:rsid w:val="086136BB"/>
    <w:rsid w:val="08786792"/>
    <w:rsid w:val="08807627"/>
    <w:rsid w:val="08832554"/>
    <w:rsid w:val="0896057A"/>
    <w:rsid w:val="089F6734"/>
    <w:rsid w:val="08D54CEA"/>
    <w:rsid w:val="08FC61FE"/>
    <w:rsid w:val="093252EE"/>
    <w:rsid w:val="09422E59"/>
    <w:rsid w:val="094A4EE7"/>
    <w:rsid w:val="0959407C"/>
    <w:rsid w:val="095E38C5"/>
    <w:rsid w:val="097D1C20"/>
    <w:rsid w:val="098552EA"/>
    <w:rsid w:val="098A3350"/>
    <w:rsid w:val="09A23D38"/>
    <w:rsid w:val="09AB154E"/>
    <w:rsid w:val="09B259BF"/>
    <w:rsid w:val="0A0106F5"/>
    <w:rsid w:val="0A0A57FB"/>
    <w:rsid w:val="0A0F1CA7"/>
    <w:rsid w:val="0A2948BE"/>
    <w:rsid w:val="0A316A36"/>
    <w:rsid w:val="0A451CA7"/>
    <w:rsid w:val="0A57416B"/>
    <w:rsid w:val="0A5B6057"/>
    <w:rsid w:val="0A6F1B02"/>
    <w:rsid w:val="0A8258AD"/>
    <w:rsid w:val="0AA7304A"/>
    <w:rsid w:val="0AE15667"/>
    <w:rsid w:val="0AE24958"/>
    <w:rsid w:val="0AF46E84"/>
    <w:rsid w:val="0AF74A1D"/>
    <w:rsid w:val="0B151530"/>
    <w:rsid w:val="0B254E0F"/>
    <w:rsid w:val="0B2D2864"/>
    <w:rsid w:val="0B4432D5"/>
    <w:rsid w:val="0B590F4A"/>
    <w:rsid w:val="0B8511E8"/>
    <w:rsid w:val="0B8E420A"/>
    <w:rsid w:val="0BA81653"/>
    <w:rsid w:val="0BAA700E"/>
    <w:rsid w:val="0BD7795F"/>
    <w:rsid w:val="0BEB10E2"/>
    <w:rsid w:val="0BF05451"/>
    <w:rsid w:val="0C1A66D1"/>
    <w:rsid w:val="0C411CD0"/>
    <w:rsid w:val="0C596A1F"/>
    <w:rsid w:val="0C5B1FA9"/>
    <w:rsid w:val="0C705D15"/>
    <w:rsid w:val="0C8E4136"/>
    <w:rsid w:val="0CA062F8"/>
    <w:rsid w:val="0CED2457"/>
    <w:rsid w:val="0D165872"/>
    <w:rsid w:val="0D232FE9"/>
    <w:rsid w:val="0D2C1377"/>
    <w:rsid w:val="0D301CA7"/>
    <w:rsid w:val="0D5C5AB2"/>
    <w:rsid w:val="0D614F04"/>
    <w:rsid w:val="0D691927"/>
    <w:rsid w:val="0D6A4C3D"/>
    <w:rsid w:val="0D6B79A8"/>
    <w:rsid w:val="0D894C89"/>
    <w:rsid w:val="0D904269"/>
    <w:rsid w:val="0DB37F58"/>
    <w:rsid w:val="0DBD7268"/>
    <w:rsid w:val="0DCC335E"/>
    <w:rsid w:val="0DE66BD9"/>
    <w:rsid w:val="0DF87606"/>
    <w:rsid w:val="0E04554D"/>
    <w:rsid w:val="0E0C0187"/>
    <w:rsid w:val="0E197CD6"/>
    <w:rsid w:val="0E3C619F"/>
    <w:rsid w:val="0E4137B5"/>
    <w:rsid w:val="0E634231"/>
    <w:rsid w:val="0E720AFA"/>
    <w:rsid w:val="0E760DED"/>
    <w:rsid w:val="0E94477A"/>
    <w:rsid w:val="0EA93835"/>
    <w:rsid w:val="0EBC2000"/>
    <w:rsid w:val="0EE04D7C"/>
    <w:rsid w:val="0EE07C71"/>
    <w:rsid w:val="0F143C2E"/>
    <w:rsid w:val="0F340DCE"/>
    <w:rsid w:val="0F362BEE"/>
    <w:rsid w:val="0F3918CC"/>
    <w:rsid w:val="0F397095"/>
    <w:rsid w:val="0F4006B3"/>
    <w:rsid w:val="0F904BE6"/>
    <w:rsid w:val="0FB64C56"/>
    <w:rsid w:val="0FD663C6"/>
    <w:rsid w:val="0FEA3549"/>
    <w:rsid w:val="0FED06EC"/>
    <w:rsid w:val="0FF52AA9"/>
    <w:rsid w:val="10044A9B"/>
    <w:rsid w:val="1008523D"/>
    <w:rsid w:val="10190CBD"/>
    <w:rsid w:val="102D14D1"/>
    <w:rsid w:val="103A56ED"/>
    <w:rsid w:val="105F6F02"/>
    <w:rsid w:val="106119F9"/>
    <w:rsid w:val="108711C7"/>
    <w:rsid w:val="10A05079"/>
    <w:rsid w:val="10A34515"/>
    <w:rsid w:val="10AA3A11"/>
    <w:rsid w:val="10BB784F"/>
    <w:rsid w:val="10D355A2"/>
    <w:rsid w:val="10FD40A8"/>
    <w:rsid w:val="1102722C"/>
    <w:rsid w:val="11040DF0"/>
    <w:rsid w:val="113118BF"/>
    <w:rsid w:val="11342822"/>
    <w:rsid w:val="11627CCB"/>
    <w:rsid w:val="1165541F"/>
    <w:rsid w:val="117935E0"/>
    <w:rsid w:val="118640B3"/>
    <w:rsid w:val="11F254F3"/>
    <w:rsid w:val="11F757FC"/>
    <w:rsid w:val="11FB35F8"/>
    <w:rsid w:val="121F52D5"/>
    <w:rsid w:val="12321665"/>
    <w:rsid w:val="123C49C0"/>
    <w:rsid w:val="124273CB"/>
    <w:rsid w:val="12440908"/>
    <w:rsid w:val="124752ED"/>
    <w:rsid w:val="12492C39"/>
    <w:rsid w:val="125862DF"/>
    <w:rsid w:val="126741BF"/>
    <w:rsid w:val="126C7EC0"/>
    <w:rsid w:val="1277417D"/>
    <w:rsid w:val="12BE7F96"/>
    <w:rsid w:val="12E70400"/>
    <w:rsid w:val="12EF3EDA"/>
    <w:rsid w:val="12F068F7"/>
    <w:rsid w:val="12F745E0"/>
    <w:rsid w:val="12F96D8F"/>
    <w:rsid w:val="13141D5A"/>
    <w:rsid w:val="1319085D"/>
    <w:rsid w:val="13286CF2"/>
    <w:rsid w:val="13294F44"/>
    <w:rsid w:val="133B07D3"/>
    <w:rsid w:val="1342515B"/>
    <w:rsid w:val="1356443E"/>
    <w:rsid w:val="135A4326"/>
    <w:rsid w:val="1360694E"/>
    <w:rsid w:val="136253A7"/>
    <w:rsid w:val="136544CD"/>
    <w:rsid w:val="13A72C3B"/>
    <w:rsid w:val="13A934D3"/>
    <w:rsid w:val="13B4150B"/>
    <w:rsid w:val="13C0328F"/>
    <w:rsid w:val="13C719E1"/>
    <w:rsid w:val="13DC2553"/>
    <w:rsid w:val="14215CAB"/>
    <w:rsid w:val="142F3F7D"/>
    <w:rsid w:val="143E367B"/>
    <w:rsid w:val="14760CCE"/>
    <w:rsid w:val="149B2B25"/>
    <w:rsid w:val="149C34F4"/>
    <w:rsid w:val="15007F26"/>
    <w:rsid w:val="15127621"/>
    <w:rsid w:val="15684FD5"/>
    <w:rsid w:val="157939BE"/>
    <w:rsid w:val="158076D1"/>
    <w:rsid w:val="15836462"/>
    <w:rsid w:val="158B1288"/>
    <w:rsid w:val="15B360ED"/>
    <w:rsid w:val="15CA4090"/>
    <w:rsid w:val="15E46AEA"/>
    <w:rsid w:val="15E5196C"/>
    <w:rsid w:val="15F25C65"/>
    <w:rsid w:val="161C194F"/>
    <w:rsid w:val="16345E5C"/>
    <w:rsid w:val="163A2839"/>
    <w:rsid w:val="164C7B0F"/>
    <w:rsid w:val="165805AA"/>
    <w:rsid w:val="16774965"/>
    <w:rsid w:val="167D6633"/>
    <w:rsid w:val="1695644C"/>
    <w:rsid w:val="16A6065A"/>
    <w:rsid w:val="16C7330C"/>
    <w:rsid w:val="16CE41FA"/>
    <w:rsid w:val="16D276A1"/>
    <w:rsid w:val="16E77616"/>
    <w:rsid w:val="16E80C72"/>
    <w:rsid w:val="16F862E2"/>
    <w:rsid w:val="170B4961"/>
    <w:rsid w:val="172D2B29"/>
    <w:rsid w:val="17374F68"/>
    <w:rsid w:val="176159C8"/>
    <w:rsid w:val="17762075"/>
    <w:rsid w:val="17C50F2C"/>
    <w:rsid w:val="17C57205"/>
    <w:rsid w:val="17CB2366"/>
    <w:rsid w:val="181F4751"/>
    <w:rsid w:val="182E1E5C"/>
    <w:rsid w:val="186407CC"/>
    <w:rsid w:val="1871686D"/>
    <w:rsid w:val="187F73B4"/>
    <w:rsid w:val="188416DE"/>
    <w:rsid w:val="188542AB"/>
    <w:rsid w:val="1888103C"/>
    <w:rsid w:val="18940F06"/>
    <w:rsid w:val="189E1726"/>
    <w:rsid w:val="18AE213F"/>
    <w:rsid w:val="18B94A2C"/>
    <w:rsid w:val="18EF3A7F"/>
    <w:rsid w:val="19024447"/>
    <w:rsid w:val="190B2D72"/>
    <w:rsid w:val="19160AEA"/>
    <w:rsid w:val="19202945"/>
    <w:rsid w:val="19266EAE"/>
    <w:rsid w:val="193E61A9"/>
    <w:rsid w:val="19653DE0"/>
    <w:rsid w:val="1977008B"/>
    <w:rsid w:val="19A52E4A"/>
    <w:rsid w:val="19AC41D9"/>
    <w:rsid w:val="19B175FE"/>
    <w:rsid w:val="19BA2DA6"/>
    <w:rsid w:val="19CB3F91"/>
    <w:rsid w:val="19D43730"/>
    <w:rsid w:val="19DE29A1"/>
    <w:rsid w:val="19E060CA"/>
    <w:rsid w:val="19E17184"/>
    <w:rsid w:val="19E716B5"/>
    <w:rsid w:val="19FB2C3C"/>
    <w:rsid w:val="1A1B5EE6"/>
    <w:rsid w:val="1A2E0747"/>
    <w:rsid w:val="1A351A94"/>
    <w:rsid w:val="1A3B188F"/>
    <w:rsid w:val="1A416618"/>
    <w:rsid w:val="1A4F4961"/>
    <w:rsid w:val="1A527E86"/>
    <w:rsid w:val="1A544DDF"/>
    <w:rsid w:val="1A5F0DA7"/>
    <w:rsid w:val="1A8011C2"/>
    <w:rsid w:val="1A864FC7"/>
    <w:rsid w:val="1A967D50"/>
    <w:rsid w:val="1A970FB3"/>
    <w:rsid w:val="1AAB45F6"/>
    <w:rsid w:val="1AC35813"/>
    <w:rsid w:val="1AC402FB"/>
    <w:rsid w:val="1AC83294"/>
    <w:rsid w:val="1ADC4BA2"/>
    <w:rsid w:val="1AF205C1"/>
    <w:rsid w:val="1AFA5418"/>
    <w:rsid w:val="1B106349"/>
    <w:rsid w:val="1B133EBD"/>
    <w:rsid w:val="1B150307"/>
    <w:rsid w:val="1B3F107D"/>
    <w:rsid w:val="1B4628AD"/>
    <w:rsid w:val="1B4A3CA9"/>
    <w:rsid w:val="1B524AC2"/>
    <w:rsid w:val="1B59326E"/>
    <w:rsid w:val="1B791B76"/>
    <w:rsid w:val="1BA82FED"/>
    <w:rsid w:val="1BB6133F"/>
    <w:rsid w:val="1BBD3D34"/>
    <w:rsid w:val="1BBE13E9"/>
    <w:rsid w:val="1BC54211"/>
    <w:rsid w:val="1BCC07FF"/>
    <w:rsid w:val="1BCF0C5A"/>
    <w:rsid w:val="1BED31A7"/>
    <w:rsid w:val="1C1E4C23"/>
    <w:rsid w:val="1C2416AE"/>
    <w:rsid w:val="1C2D03AA"/>
    <w:rsid w:val="1C60574F"/>
    <w:rsid w:val="1C694603"/>
    <w:rsid w:val="1CB20E75"/>
    <w:rsid w:val="1CB3587E"/>
    <w:rsid w:val="1CD56934"/>
    <w:rsid w:val="1CE400B3"/>
    <w:rsid w:val="1CE442E3"/>
    <w:rsid w:val="1D012A8E"/>
    <w:rsid w:val="1D0B7468"/>
    <w:rsid w:val="1D10120A"/>
    <w:rsid w:val="1D1736BA"/>
    <w:rsid w:val="1D2119DA"/>
    <w:rsid w:val="1D2530AE"/>
    <w:rsid w:val="1D383045"/>
    <w:rsid w:val="1D481945"/>
    <w:rsid w:val="1D497F91"/>
    <w:rsid w:val="1D4E6BA1"/>
    <w:rsid w:val="1D6651E0"/>
    <w:rsid w:val="1D7F1E81"/>
    <w:rsid w:val="1D9F6122"/>
    <w:rsid w:val="1DE63A32"/>
    <w:rsid w:val="1DEB189E"/>
    <w:rsid w:val="1E2B1E83"/>
    <w:rsid w:val="1E453774"/>
    <w:rsid w:val="1E58492F"/>
    <w:rsid w:val="1E5B7F7C"/>
    <w:rsid w:val="1E5E5C12"/>
    <w:rsid w:val="1E7277E4"/>
    <w:rsid w:val="1E8D7EC4"/>
    <w:rsid w:val="1E9811D0"/>
    <w:rsid w:val="1EB05FC3"/>
    <w:rsid w:val="1EB06519"/>
    <w:rsid w:val="1EB57C64"/>
    <w:rsid w:val="1EB75293"/>
    <w:rsid w:val="1EDA17E8"/>
    <w:rsid w:val="1EDD61C5"/>
    <w:rsid w:val="1EDE506D"/>
    <w:rsid w:val="1EE456C8"/>
    <w:rsid w:val="1EFA23B0"/>
    <w:rsid w:val="1F091FF2"/>
    <w:rsid w:val="1F1C3BAF"/>
    <w:rsid w:val="1F260B0D"/>
    <w:rsid w:val="1F2F00D5"/>
    <w:rsid w:val="1F3031B6"/>
    <w:rsid w:val="1F375C0D"/>
    <w:rsid w:val="1F391141"/>
    <w:rsid w:val="1F3D0CE1"/>
    <w:rsid w:val="1F444EB4"/>
    <w:rsid w:val="1F541C2F"/>
    <w:rsid w:val="1FA00F50"/>
    <w:rsid w:val="1FA7260B"/>
    <w:rsid w:val="1FB172DF"/>
    <w:rsid w:val="1FCC5AE8"/>
    <w:rsid w:val="1FE0333B"/>
    <w:rsid w:val="1FEE3736"/>
    <w:rsid w:val="2034266D"/>
    <w:rsid w:val="20441BF7"/>
    <w:rsid w:val="20567811"/>
    <w:rsid w:val="206472BB"/>
    <w:rsid w:val="207B20B8"/>
    <w:rsid w:val="208F3298"/>
    <w:rsid w:val="209D0D1F"/>
    <w:rsid w:val="20AE2C72"/>
    <w:rsid w:val="20B47E17"/>
    <w:rsid w:val="20C242E2"/>
    <w:rsid w:val="20C87EE6"/>
    <w:rsid w:val="20DF6696"/>
    <w:rsid w:val="21156537"/>
    <w:rsid w:val="21584C46"/>
    <w:rsid w:val="21815AE7"/>
    <w:rsid w:val="218469C1"/>
    <w:rsid w:val="21FB6487"/>
    <w:rsid w:val="22511F8F"/>
    <w:rsid w:val="22590C76"/>
    <w:rsid w:val="225B5552"/>
    <w:rsid w:val="22620C72"/>
    <w:rsid w:val="22654441"/>
    <w:rsid w:val="226811CD"/>
    <w:rsid w:val="22753215"/>
    <w:rsid w:val="22754B37"/>
    <w:rsid w:val="22977085"/>
    <w:rsid w:val="22AE5F02"/>
    <w:rsid w:val="22B71369"/>
    <w:rsid w:val="22C70E9C"/>
    <w:rsid w:val="22E54FD6"/>
    <w:rsid w:val="23156267"/>
    <w:rsid w:val="231F3C6E"/>
    <w:rsid w:val="23305E7B"/>
    <w:rsid w:val="23641680"/>
    <w:rsid w:val="23AD7E03"/>
    <w:rsid w:val="23B24AE2"/>
    <w:rsid w:val="23BA37D0"/>
    <w:rsid w:val="23D26F32"/>
    <w:rsid w:val="23F724F4"/>
    <w:rsid w:val="24207C9D"/>
    <w:rsid w:val="2432177F"/>
    <w:rsid w:val="243A6885"/>
    <w:rsid w:val="244A7E06"/>
    <w:rsid w:val="24552B00"/>
    <w:rsid w:val="24582CE4"/>
    <w:rsid w:val="24656A71"/>
    <w:rsid w:val="246C3202"/>
    <w:rsid w:val="2483022C"/>
    <w:rsid w:val="24C451F6"/>
    <w:rsid w:val="24CD7C86"/>
    <w:rsid w:val="250462EA"/>
    <w:rsid w:val="252D7657"/>
    <w:rsid w:val="25355DF2"/>
    <w:rsid w:val="25390605"/>
    <w:rsid w:val="253A3746"/>
    <w:rsid w:val="25671777"/>
    <w:rsid w:val="256C29A0"/>
    <w:rsid w:val="256F1AE8"/>
    <w:rsid w:val="25716113"/>
    <w:rsid w:val="25752417"/>
    <w:rsid w:val="25933BDB"/>
    <w:rsid w:val="25B66BA8"/>
    <w:rsid w:val="25C37B84"/>
    <w:rsid w:val="25E70ABF"/>
    <w:rsid w:val="262732E8"/>
    <w:rsid w:val="262E1F92"/>
    <w:rsid w:val="26584F46"/>
    <w:rsid w:val="266E4660"/>
    <w:rsid w:val="26A45747"/>
    <w:rsid w:val="26B20955"/>
    <w:rsid w:val="26CF4594"/>
    <w:rsid w:val="271E4DAB"/>
    <w:rsid w:val="27255727"/>
    <w:rsid w:val="272606A8"/>
    <w:rsid w:val="272B540D"/>
    <w:rsid w:val="273B6B9C"/>
    <w:rsid w:val="274759C4"/>
    <w:rsid w:val="274B7559"/>
    <w:rsid w:val="276B0402"/>
    <w:rsid w:val="278E4F1E"/>
    <w:rsid w:val="27944F81"/>
    <w:rsid w:val="27BF157B"/>
    <w:rsid w:val="27D919DA"/>
    <w:rsid w:val="27FA6A57"/>
    <w:rsid w:val="28166B73"/>
    <w:rsid w:val="282442D9"/>
    <w:rsid w:val="284367B5"/>
    <w:rsid w:val="285718A5"/>
    <w:rsid w:val="286669E4"/>
    <w:rsid w:val="28D42DB2"/>
    <w:rsid w:val="28EB4C69"/>
    <w:rsid w:val="28EC781E"/>
    <w:rsid w:val="28F865CB"/>
    <w:rsid w:val="29053276"/>
    <w:rsid w:val="29250E1B"/>
    <w:rsid w:val="292A336C"/>
    <w:rsid w:val="295A53EB"/>
    <w:rsid w:val="297665B1"/>
    <w:rsid w:val="29802F8C"/>
    <w:rsid w:val="29803AA3"/>
    <w:rsid w:val="29884B07"/>
    <w:rsid w:val="298957C4"/>
    <w:rsid w:val="29BD5F8E"/>
    <w:rsid w:val="29CF1324"/>
    <w:rsid w:val="29DF4E52"/>
    <w:rsid w:val="2A1D6A45"/>
    <w:rsid w:val="2A2102CB"/>
    <w:rsid w:val="2A6F6EBA"/>
    <w:rsid w:val="2A774E1D"/>
    <w:rsid w:val="2A780C4F"/>
    <w:rsid w:val="2A830C79"/>
    <w:rsid w:val="2A8D5961"/>
    <w:rsid w:val="2ABF1256"/>
    <w:rsid w:val="2AD11736"/>
    <w:rsid w:val="2AE65071"/>
    <w:rsid w:val="2AEB2687"/>
    <w:rsid w:val="2B0E0405"/>
    <w:rsid w:val="2B1029CF"/>
    <w:rsid w:val="2B1D6E88"/>
    <w:rsid w:val="2B1F7D54"/>
    <w:rsid w:val="2B2032D9"/>
    <w:rsid w:val="2B4D51E4"/>
    <w:rsid w:val="2B5F0E77"/>
    <w:rsid w:val="2B720245"/>
    <w:rsid w:val="2B7F64C1"/>
    <w:rsid w:val="2B886128"/>
    <w:rsid w:val="2BA3212D"/>
    <w:rsid w:val="2BAE55DD"/>
    <w:rsid w:val="2BE7007A"/>
    <w:rsid w:val="2BEE09B1"/>
    <w:rsid w:val="2BFE408A"/>
    <w:rsid w:val="2C234403"/>
    <w:rsid w:val="2C2A1060"/>
    <w:rsid w:val="2C916010"/>
    <w:rsid w:val="2CA927FA"/>
    <w:rsid w:val="2CC9059D"/>
    <w:rsid w:val="2CD55307"/>
    <w:rsid w:val="2CDF0482"/>
    <w:rsid w:val="2CE66C6C"/>
    <w:rsid w:val="2D22640D"/>
    <w:rsid w:val="2D464D5F"/>
    <w:rsid w:val="2D4E5097"/>
    <w:rsid w:val="2D4E5386"/>
    <w:rsid w:val="2D592D22"/>
    <w:rsid w:val="2D8C0151"/>
    <w:rsid w:val="2DA27975"/>
    <w:rsid w:val="2DB5450D"/>
    <w:rsid w:val="2DFB00B5"/>
    <w:rsid w:val="2E0752B0"/>
    <w:rsid w:val="2E474078"/>
    <w:rsid w:val="2E556795"/>
    <w:rsid w:val="2E681342"/>
    <w:rsid w:val="2E697CA3"/>
    <w:rsid w:val="2E6B280E"/>
    <w:rsid w:val="2E6D4E98"/>
    <w:rsid w:val="2E7931EC"/>
    <w:rsid w:val="2E7B0389"/>
    <w:rsid w:val="2E7B06AB"/>
    <w:rsid w:val="2E886C68"/>
    <w:rsid w:val="2E8E5491"/>
    <w:rsid w:val="2E944745"/>
    <w:rsid w:val="2E9705D3"/>
    <w:rsid w:val="2E9C3022"/>
    <w:rsid w:val="2E9F2106"/>
    <w:rsid w:val="2EBC6814"/>
    <w:rsid w:val="2EBE0475"/>
    <w:rsid w:val="2EC1790D"/>
    <w:rsid w:val="2ED718A0"/>
    <w:rsid w:val="2EE23871"/>
    <w:rsid w:val="2EE71A9D"/>
    <w:rsid w:val="2EEF6BEA"/>
    <w:rsid w:val="2EFF1CE5"/>
    <w:rsid w:val="2F1D1D68"/>
    <w:rsid w:val="2F2A65B2"/>
    <w:rsid w:val="2F6C2DFA"/>
    <w:rsid w:val="2F7F39E1"/>
    <w:rsid w:val="2F846AE9"/>
    <w:rsid w:val="2FAD2438"/>
    <w:rsid w:val="2FC811E9"/>
    <w:rsid w:val="3022617D"/>
    <w:rsid w:val="303A1CAD"/>
    <w:rsid w:val="303E6666"/>
    <w:rsid w:val="30464B56"/>
    <w:rsid w:val="30473068"/>
    <w:rsid w:val="304B5DEC"/>
    <w:rsid w:val="30580361"/>
    <w:rsid w:val="30731155"/>
    <w:rsid w:val="307C2C0D"/>
    <w:rsid w:val="30896BCA"/>
    <w:rsid w:val="308C66BA"/>
    <w:rsid w:val="30965B9C"/>
    <w:rsid w:val="30967620"/>
    <w:rsid w:val="30BD1FE5"/>
    <w:rsid w:val="30F36C74"/>
    <w:rsid w:val="30F90CD1"/>
    <w:rsid w:val="30F9318B"/>
    <w:rsid w:val="31272F44"/>
    <w:rsid w:val="31362C1F"/>
    <w:rsid w:val="31605B7D"/>
    <w:rsid w:val="31662A68"/>
    <w:rsid w:val="316B62D0"/>
    <w:rsid w:val="31936105"/>
    <w:rsid w:val="319475D5"/>
    <w:rsid w:val="31A57A34"/>
    <w:rsid w:val="31AE740B"/>
    <w:rsid w:val="31B658D4"/>
    <w:rsid w:val="31B9385A"/>
    <w:rsid w:val="32316E69"/>
    <w:rsid w:val="325B404D"/>
    <w:rsid w:val="3264576A"/>
    <w:rsid w:val="32742ADC"/>
    <w:rsid w:val="32887E5F"/>
    <w:rsid w:val="329A50AF"/>
    <w:rsid w:val="329E5AD1"/>
    <w:rsid w:val="329E6A56"/>
    <w:rsid w:val="32C02899"/>
    <w:rsid w:val="32CC51E5"/>
    <w:rsid w:val="32E6051A"/>
    <w:rsid w:val="32F02F31"/>
    <w:rsid w:val="32F33B15"/>
    <w:rsid w:val="330B7D6A"/>
    <w:rsid w:val="332A2B6E"/>
    <w:rsid w:val="332B5568"/>
    <w:rsid w:val="33435AA7"/>
    <w:rsid w:val="33483D59"/>
    <w:rsid w:val="335A3660"/>
    <w:rsid w:val="33691AE5"/>
    <w:rsid w:val="336F02F9"/>
    <w:rsid w:val="337176F8"/>
    <w:rsid w:val="33753436"/>
    <w:rsid w:val="33A40443"/>
    <w:rsid w:val="33A718ED"/>
    <w:rsid w:val="33AA3E3F"/>
    <w:rsid w:val="33C61EE3"/>
    <w:rsid w:val="33EF143A"/>
    <w:rsid w:val="3402290E"/>
    <w:rsid w:val="341D5FA7"/>
    <w:rsid w:val="342238FA"/>
    <w:rsid w:val="344A35D0"/>
    <w:rsid w:val="34873182"/>
    <w:rsid w:val="34A72140"/>
    <w:rsid w:val="34AC6BE3"/>
    <w:rsid w:val="34EB329F"/>
    <w:rsid w:val="34F942C8"/>
    <w:rsid w:val="34FE1F7D"/>
    <w:rsid w:val="35064D89"/>
    <w:rsid w:val="35266C07"/>
    <w:rsid w:val="35270865"/>
    <w:rsid w:val="356F6C4A"/>
    <w:rsid w:val="3594762C"/>
    <w:rsid w:val="35A87AF3"/>
    <w:rsid w:val="35C42A65"/>
    <w:rsid w:val="36041B6D"/>
    <w:rsid w:val="3609516B"/>
    <w:rsid w:val="361B7BDC"/>
    <w:rsid w:val="362819E9"/>
    <w:rsid w:val="363B20F4"/>
    <w:rsid w:val="364221AD"/>
    <w:rsid w:val="36627D01"/>
    <w:rsid w:val="36AC6FD2"/>
    <w:rsid w:val="36AE45FE"/>
    <w:rsid w:val="36D4159F"/>
    <w:rsid w:val="36E67798"/>
    <w:rsid w:val="36E7289C"/>
    <w:rsid w:val="36FF0DB1"/>
    <w:rsid w:val="37067020"/>
    <w:rsid w:val="371D1CDE"/>
    <w:rsid w:val="372649E2"/>
    <w:rsid w:val="372C02AF"/>
    <w:rsid w:val="372C59AA"/>
    <w:rsid w:val="372E2279"/>
    <w:rsid w:val="373000B7"/>
    <w:rsid w:val="37412D8C"/>
    <w:rsid w:val="37424DCB"/>
    <w:rsid w:val="377A54BF"/>
    <w:rsid w:val="377F0D27"/>
    <w:rsid w:val="37824D2F"/>
    <w:rsid w:val="37963F54"/>
    <w:rsid w:val="379A6B89"/>
    <w:rsid w:val="37B7401D"/>
    <w:rsid w:val="37BF2E3D"/>
    <w:rsid w:val="37D107AA"/>
    <w:rsid w:val="37FD7E74"/>
    <w:rsid w:val="380A6843"/>
    <w:rsid w:val="38617BEC"/>
    <w:rsid w:val="38926D93"/>
    <w:rsid w:val="38B04B0E"/>
    <w:rsid w:val="38E54BBA"/>
    <w:rsid w:val="38FD54AF"/>
    <w:rsid w:val="390741E5"/>
    <w:rsid w:val="391F264A"/>
    <w:rsid w:val="39243472"/>
    <w:rsid w:val="392B2144"/>
    <w:rsid w:val="394205BC"/>
    <w:rsid w:val="3997588E"/>
    <w:rsid w:val="39B46D56"/>
    <w:rsid w:val="39C828E7"/>
    <w:rsid w:val="39DD557C"/>
    <w:rsid w:val="39F552D0"/>
    <w:rsid w:val="39FC4298"/>
    <w:rsid w:val="3A4536A9"/>
    <w:rsid w:val="3A5448AB"/>
    <w:rsid w:val="3A552184"/>
    <w:rsid w:val="3A60099C"/>
    <w:rsid w:val="3A672F16"/>
    <w:rsid w:val="3A7900EF"/>
    <w:rsid w:val="3A800711"/>
    <w:rsid w:val="3A810CA0"/>
    <w:rsid w:val="3A9446EC"/>
    <w:rsid w:val="3A96496C"/>
    <w:rsid w:val="3A9F3479"/>
    <w:rsid w:val="3ABC7EEE"/>
    <w:rsid w:val="3AC0768C"/>
    <w:rsid w:val="3AED2009"/>
    <w:rsid w:val="3B1771AB"/>
    <w:rsid w:val="3B1939D0"/>
    <w:rsid w:val="3B2E7228"/>
    <w:rsid w:val="3B3955B9"/>
    <w:rsid w:val="3B581890"/>
    <w:rsid w:val="3BA60A85"/>
    <w:rsid w:val="3BA96372"/>
    <w:rsid w:val="3BAB1C70"/>
    <w:rsid w:val="3BAB26D3"/>
    <w:rsid w:val="3BD009CC"/>
    <w:rsid w:val="3BDE0A34"/>
    <w:rsid w:val="3BF45BDB"/>
    <w:rsid w:val="3C0812EB"/>
    <w:rsid w:val="3C2B1FE6"/>
    <w:rsid w:val="3C541C9F"/>
    <w:rsid w:val="3C8779B9"/>
    <w:rsid w:val="3C8B2C2B"/>
    <w:rsid w:val="3C940215"/>
    <w:rsid w:val="3C9F058C"/>
    <w:rsid w:val="3CA60B04"/>
    <w:rsid w:val="3CA93707"/>
    <w:rsid w:val="3CB74ABF"/>
    <w:rsid w:val="3CC97C4F"/>
    <w:rsid w:val="3CCA29EB"/>
    <w:rsid w:val="3CCC5DBF"/>
    <w:rsid w:val="3CD74C46"/>
    <w:rsid w:val="3D3B124C"/>
    <w:rsid w:val="3D453E79"/>
    <w:rsid w:val="3D481758"/>
    <w:rsid w:val="3D497E6A"/>
    <w:rsid w:val="3D567E34"/>
    <w:rsid w:val="3D634958"/>
    <w:rsid w:val="3D6C6B53"/>
    <w:rsid w:val="3D8A01C7"/>
    <w:rsid w:val="3D8C6BB2"/>
    <w:rsid w:val="3D987150"/>
    <w:rsid w:val="3D9D71C0"/>
    <w:rsid w:val="3D9E333B"/>
    <w:rsid w:val="3DBC00BF"/>
    <w:rsid w:val="3DCB1A6B"/>
    <w:rsid w:val="3DCE35B6"/>
    <w:rsid w:val="3DED30AA"/>
    <w:rsid w:val="3DEE3528"/>
    <w:rsid w:val="3DFF671E"/>
    <w:rsid w:val="3E3102BB"/>
    <w:rsid w:val="3E556C1E"/>
    <w:rsid w:val="3E614AA5"/>
    <w:rsid w:val="3E704F26"/>
    <w:rsid w:val="3EB02545"/>
    <w:rsid w:val="3EB21D54"/>
    <w:rsid w:val="3ECF2DF7"/>
    <w:rsid w:val="3EF93562"/>
    <w:rsid w:val="3F12422F"/>
    <w:rsid w:val="3F18661A"/>
    <w:rsid w:val="3F6D4287"/>
    <w:rsid w:val="3F7512EA"/>
    <w:rsid w:val="3F850EA5"/>
    <w:rsid w:val="3F87243F"/>
    <w:rsid w:val="3F9730B9"/>
    <w:rsid w:val="3FA373CA"/>
    <w:rsid w:val="3FAC350B"/>
    <w:rsid w:val="3FBD58AF"/>
    <w:rsid w:val="3FC15168"/>
    <w:rsid w:val="3FC55901"/>
    <w:rsid w:val="3FC92B3F"/>
    <w:rsid w:val="3FC9458D"/>
    <w:rsid w:val="3FCB5FB2"/>
    <w:rsid w:val="3FD033AD"/>
    <w:rsid w:val="3FE12547"/>
    <w:rsid w:val="3FE23C01"/>
    <w:rsid w:val="401924B3"/>
    <w:rsid w:val="401F021A"/>
    <w:rsid w:val="403D0C6D"/>
    <w:rsid w:val="404148A6"/>
    <w:rsid w:val="40572AB6"/>
    <w:rsid w:val="405D3459"/>
    <w:rsid w:val="4068264C"/>
    <w:rsid w:val="407728FD"/>
    <w:rsid w:val="407D4A21"/>
    <w:rsid w:val="40983992"/>
    <w:rsid w:val="40CA0DB3"/>
    <w:rsid w:val="40D64B0A"/>
    <w:rsid w:val="40DB2B57"/>
    <w:rsid w:val="40DC5CDB"/>
    <w:rsid w:val="410603FC"/>
    <w:rsid w:val="410D06B8"/>
    <w:rsid w:val="4156426C"/>
    <w:rsid w:val="415D2E43"/>
    <w:rsid w:val="417B380A"/>
    <w:rsid w:val="41A274B6"/>
    <w:rsid w:val="41C034AF"/>
    <w:rsid w:val="41C061C4"/>
    <w:rsid w:val="42107DDD"/>
    <w:rsid w:val="42311D52"/>
    <w:rsid w:val="424A712C"/>
    <w:rsid w:val="42563698"/>
    <w:rsid w:val="4263268C"/>
    <w:rsid w:val="426C12DA"/>
    <w:rsid w:val="428C44AE"/>
    <w:rsid w:val="429F7E60"/>
    <w:rsid w:val="42A66B85"/>
    <w:rsid w:val="42B615E6"/>
    <w:rsid w:val="42CB2D35"/>
    <w:rsid w:val="42D21256"/>
    <w:rsid w:val="42F42EB4"/>
    <w:rsid w:val="42F759C4"/>
    <w:rsid w:val="43023463"/>
    <w:rsid w:val="43144A19"/>
    <w:rsid w:val="431C38CE"/>
    <w:rsid w:val="433F0A06"/>
    <w:rsid w:val="434660D0"/>
    <w:rsid w:val="43554BAC"/>
    <w:rsid w:val="435968D0"/>
    <w:rsid w:val="435D3A52"/>
    <w:rsid w:val="43770B04"/>
    <w:rsid w:val="438751EB"/>
    <w:rsid w:val="43A027A3"/>
    <w:rsid w:val="43AA1E91"/>
    <w:rsid w:val="43AF27CC"/>
    <w:rsid w:val="43BA343C"/>
    <w:rsid w:val="43DD4C6D"/>
    <w:rsid w:val="43E06D85"/>
    <w:rsid w:val="43F8127E"/>
    <w:rsid w:val="440A08B0"/>
    <w:rsid w:val="4428525F"/>
    <w:rsid w:val="444A0170"/>
    <w:rsid w:val="44621887"/>
    <w:rsid w:val="44667276"/>
    <w:rsid w:val="448259B3"/>
    <w:rsid w:val="44A37922"/>
    <w:rsid w:val="44B63420"/>
    <w:rsid w:val="44B71DE6"/>
    <w:rsid w:val="44B87626"/>
    <w:rsid w:val="44BE70AA"/>
    <w:rsid w:val="44C075E6"/>
    <w:rsid w:val="44D7718A"/>
    <w:rsid w:val="44DB6B8D"/>
    <w:rsid w:val="45561319"/>
    <w:rsid w:val="458431BA"/>
    <w:rsid w:val="45A57BAB"/>
    <w:rsid w:val="45DE130F"/>
    <w:rsid w:val="45F8252B"/>
    <w:rsid w:val="46153B79"/>
    <w:rsid w:val="4625595A"/>
    <w:rsid w:val="4655670F"/>
    <w:rsid w:val="46690BD8"/>
    <w:rsid w:val="469236DF"/>
    <w:rsid w:val="46CD6A3D"/>
    <w:rsid w:val="46D23AA8"/>
    <w:rsid w:val="46D446A7"/>
    <w:rsid w:val="46DC43BD"/>
    <w:rsid w:val="46ED7A5B"/>
    <w:rsid w:val="47165D61"/>
    <w:rsid w:val="475D1752"/>
    <w:rsid w:val="476E2F0C"/>
    <w:rsid w:val="47767BD4"/>
    <w:rsid w:val="477737C9"/>
    <w:rsid w:val="477766D9"/>
    <w:rsid w:val="477D0471"/>
    <w:rsid w:val="47E0458D"/>
    <w:rsid w:val="47E250E6"/>
    <w:rsid w:val="47E31939"/>
    <w:rsid w:val="47FB44E3"/>
    <w:rsid w:val="4804332F"/>
    <w:rsid w:val="48117779"/>
    <w:rsid w:val="482374AD"/>
    <w:rsid w:val="48523ECB"/>
    <w:rsid w:val="48527D6A"/>
    <w:rsid w:val="48594C7C"/>
    <w:rsid w:val="48677399"/>
    <w:rsid w:val="48767191"/>
    <w:rsid w:val="488A747A"/>
    <w:rsid w:val="489640A7"/>
    <w:rsid w:val="489E300A"/>
    <w:rsid w:val="4909055C"/>
    <w:rsid w:val="492152AE"/>
    <w:rsid w:val="4955748F"/>
    <w:rsid w:val="49624358"/>
    <w:rsid w:val="49634005"/>
    <w:rsid w:val="49694B92"/>
    <w:rsid w:val="496D4E83"/>
    <w:rsid w:val="49737357"/>
    <w:rsid w:val="49E36EF3"/>
    <w:rsid w:val="49F35390"/>
    <w:rsid w:val="4A0366CF"/>
    <w:rsid w:val="4A256483"/>
    <w:rsid w:val="4A38641F"/>
    <w:rsid w:val="4A4E6A63"/>
    <w:rsid w:val="4A6D08C2"/>
    <w:rsid w:val="4A777A61"/>
    <w:rsid w:val="4A800E57"/>
    <w:rsid w:val="4A9F5D83"/>
    <w:rsid w:val="4AB5099E"/>
    <w:rsid w:val="4AB52052"/>
    <w:rsid w:val="4AF859CC"/>
    <w:rsid w:val="4B5E5853"/>
    <w:rsid w:val="4B657DEC"/>
    <w:rsid w:val="4B683B54"/>
    <w:rsid w:val="4B6B5BFE"/>
    <w:rsid w:val="4B6F63D5"/>
    <w:rsid w:val="4B8152D3"/>
    <w:rsid w:val="4B83273C"/>
    <w:rsid w:val="4B965649"/>
    <w:rsid w:val="4B9A1834"/>
    <w:rsid w:val="4BAF2CE6"/>
    <w:rsid w:val="4BB30958"/>
    <w:rsid w:val="4BBA0F4B"/>
    <w:rsid w:val="4BC03621"/>
    <w:rsid w:val="4BC22F72"/>
    <w:rsid w:val="4BE67E16"/>
    <w:rsid w:val="4BEC1DA9"/>
    <w:rsid w:val="4C431ECB"/>
    <w:rsid w:val="4C454D9D"/>
    <w:rsid w:val="4C6D4FD8"/>
    <w:rsid w:val="4C956109"/>
    <w:rsid w:val="4CB12B2C"/>
    <w:rsid w:val="4CBC2827"/>
    <w:rsid w:val="4CC312B6"/>
    <w:rsid w:val="4CC748AA"/>
    <w:rsid w:val="4CCE79E7"/>
    <w:rsid w:val="4CDD2221"/>
    <w:rsid w:val="4CEC7C13"/>
    <w:rsid w:val="4D1737DC"/>
    <w:rsid w:val="4D225F85"/>
    <w:rsid w:val="4D230F75"/>
    <w:rsid w:val="4D297313"/>
    <w:rsid w:val="4D2E5116"/>
    <w:rsid w:val="4D4137BC"/>
    <w:rsid w:val="4D4946C3"/>
    <w:rsid w:val="4D553C64"/>
    <w:rsid w:val="4D6215E1"/>
    <w:rsid w:val="4D667D39"/>
    <w:rsid w:val="4D6A6CFA"/>
    <w:rsid w:val="4D6F53B7"/>
    <w:rsid w:val="4D8C427F"/>
    <w:rsid w:val="4D9739B2"/>
    <w:rsid w:val="4D973F59"/>
    <w:rsid w:val="4D97704E"/>
    <w:rsid w:val="4DB579D1"/>
    <w:rsid w:val="4DBD70EB"/>
    <w:rsid w:val="4DCC1493"/>
    <w:rsid w:val="4DD51249"/>
    <w:rsid w:val="4DD76CA3"/>
    <w:rsid w:val="4E2C254F"/>
    <w:rsid w:val="4E5B174E"/>
    <w:rsid w:val="4E6E459C"/>
    <w:rsid w:val="4E817FEA"/>
    <w:rsid w:val="4E98618A"/>
    <w:rsid w:val="4E9D352C"/>
    <w:rsid w:val="4EB95E17"/>
    <w:rsid w:val="4EB96475"/>
    <w:rsid w:val="4EF253F4"/>
    <w:rsid w:val="4EFB4CDF"/>
    <w:rsid w:val="4F0A4F22"/>
    <w:rsid w:val="4F500538"/>
    <w:rsid w:val="4F6A27E9"/>
    <w:rsid w:val="4F6B02B8"/>
    <w:rsid w:val="4F7156E6"/>
    <w:rsid w:val="4FA43165"/>
    <w:rsid w:val="4FB6214D"/>
    <w:rsid w:val="4FF82FCD"/>
    <w:rsid w:val="4FFA116E"/>
    <w:rsid w:val="4FFA2095"/>
    <w:rsid w:val="50147125"/>
    <w:rsid w:val="50151DD1"/>
    <w:rsid w:val="502A1801"/>
    <w:rsid w:val="504C7A9D"/>
    <w:rsid w:val="509E6F0D"/>
    <w:rsid w:val="50AA42C7"/>
    <w:rsid w:val="50D41344"/>
    <w:rsid w:val="50D47596"/>
    <w:rsid w:val="50E2544B"/>
    <w:rsid w:val="50E65CE2"/>
    <w:rsid w:val="511E0033"/>
    <w:rsid w:val="51202751"/>
    <w:rsid w:val="51366F1E"/>
    <w:rsid w:val="5143280B"/>
    <w:rsid w:val="51546F21"/>
    <w:rsid w:val="515D758B"/>
    <w:rsid w:val="517A638F"/>
    <w:rsid w:val="517F2D8F"/>
    <w:rsid w:val="51826FF2"/>
    <w:rsid w:val="518A1586"/>
    <w:rsid w:val="519C4558"/>
    <w:rsid w:val="51A86476"/>
    <w:rsid w:val="51C8534D"/>
    <w:rsid w:val="51D05FAF"/>
    <w:rsid w:val="51D32482"/>
    <w:rsid w:val="51D51C1A"/>
    <w:rsid w:val="51DD620D"/>
    <w:rsid w:val="51F83F85"/>
    <w:rsid w:val="52051862"/>
    <w:rsid w:val="52100AA2"/>
    <w:rsid w:val="52245275"/>
    <w:rsid w:val="52262073"/>
    <w:rsid w:val="522A5D40"/>
    <w:rsid w:val="52535651"/>
    <w:rsid w:val="526A01B2"/>
    <w:rsid w:val="5278011C"/>
    <w:rsid w:val="52AB2578"/>
    <w:rsid w:val="52E972F6"/>
    <w:rsid w:val="53043BBE"/>
    <w:rsid w:val="53163533"/>
    <w:rsid w:val="53181985"/>
    <w:rsid w:val="53274B28"/>
    <w:rsid w:val="535C0EA9"/>
    <w:rsid w:val="536562F0"/>
    <w:rsid w:val="537F1DE8"/>
    <w:rsid w:val="53876B42"/>
    <w:rsid w:val="53E43F94"/>
    <w:rsid w:val="53EC2A4F"/>
    <w:rsid w:val="541E4FD7"/>
    <w:rsid w:val="54333B92"/>
    <w:rsid w:val="5444354A"/>
    <w:rsid w:val="544D7D8B"/>
    <w:rsid w:val="545F7AE6"/>
    <w:rsid w:val="547A6B2A"/>
    <w:rsid w:val="54905ECA"/>
    <w:rsid w:val="54C51909"/>
    <w:rsid w:val="54D049E4"/>
    <w:rsid w:val="54F16968"/>
    <w:rsid w:val="54F75F49"/>
    <w:rsid w:val="551D6AF9"/>
    <w:rsid w:val="55376345"/>
    <w:rsid w:val="554D7917"/>
    <w:rsid w:val="556324F2"/>
    <w:rsid w:val="55A60ADC"/>
    <w:rsid w:val="55D857C5"/>
    <w:rsid w:val="56253A26"/>
    <w:rsid w:val="56257414"/>
    <w:rsid w:val="5638334C"/>
    <w:rsid w:val="5666031A"/>
    <w:rsid w:val="56725887"/>
    <w:rsid w:val="56780FF9"/>
    <w:rsid w:val="567A0BDF"/>
    <w:rsid w:val="56870578"/>
    <w:rsid w:val="568F259A"/>
    <w:rsid w:val="569241C0"/>
    <w:rsid w:val="56973027"/>
    <w:rsid w:val="56A1616C"/>
    <w:rsid w:val="56A33B67"/>
    <w:rsid w:val="56A40E03"/>
    <w:rsid w:val="56C45A8D"/>
    <w:rsid w:val="56E20A0E"/>
    <w:rsid w:val="57034731"/>
    <w:rsid w:val="5737516A"/>
    <w:rsid w:val="573941DB"/>
    <w:rsid w:val="57431AE0"/>
    <w:rsid w:val="576A2A02"/>
    <w:rsid w:val="57730A91"/>
    <w:rsid w:val="57A27BD5"/>
    <w:rsid w:val="57C762A2"/>
    <w:rsid w:val="57D42974"/>
    <w:rsid w:val="57DE6F4C"/>
    <w:rsid w:val="58005114"/>
    <w:rsid w:val="5812512F"/>
    <w:rsid w:val="58207565"/>
    <w:rsid w:val="582272CD"/>
    <w:rsid w:val="58402143"/>
    <w:rsid w:val="588C140C"/>
    <w:rsid w:val="58A00649"/>
    <w:rsid w:val="58AA14AD"/>
    <w:rsid w:val="58B21650"/>
    <w:rsid w:val="58C00F3E"/>
    <w:rsid w:val="58C21630"/>
    <w:rsid w:val="58C919AA"/>
    <w:rsid w:val="59051221"/>
    <w:rsid w:val="59103E6F"/>
    <w:rsid w:val="59373C72"/>
    <w:rsid w:val="5945207E"/>
    <w:rsid w:val="595B4F2E"/>
    <w:rsid w:val="596620B1"/>
    <w:rsid w:val="596C42A4"/>
    <w:rsid w:val="596D221D"/>
    <w:rsid w:val="59A237B5"/>
    <w:rsid w:val="59A77712"/>
    <w:rsid w:val="59B02759"/>
    <w:rsid w:val="59D32AE1"/>
    <w:rsid w:val="59EB562C"/>
    <w:rsid w:val="5A144EA7"/>
    <w:rsid w:val="5A706348"/>
    <w:rsid w:val="5A72604D"/>
    <w:rsid w:val="5A743572"/>
    <w:rsid w:val="5A7F77CE"/>
    <w:rsid w:val="5AA20C09"/>
    <w:rsid w:val="5ABC5F71"/>
    <w:rsid w:val="5AC661A1"/>
    <w:rsid w:val="5AF81EC0"/>
    <w:rsid w:val="5AF8422D"/>
    <w:rsid w:val="5B0E4DAE"/>
    <w:rsid w:val="5B0E6862"/>
    <w:rsid w:val="5B2F49C7"/>
    <w:rsid w:val="5B390A46"/>
    <w:rsid w:val="5B58464F"/>
    <w:rsid w:val="5B8509D1"/>
    <w:rsid w:val="5B90297B"/>
    <w:rsid w:val="5BC70423"/>
    <w:rsid w:val="5BF154A0"/>
    <w:rsid w:val="5C076A71"/>
    <w:rsid w:val="5C11606C"/>
    <w:rsid w:val="5C484871"/>
    <w:rsid w:val="5C4E0A2D"/>
    <w:rsid w:val="5C524815"/>
    <w:rsid w:val="5C64452B"/>
    <w:rsid w:val="5C7719CE"/>
    <w:rsid w:val="5C8E79BD"/>
    <w:rsid w:val="5C9407AC"/>
    <w:rsid w:val="5C981DBF"/>
    <w:rsid w:val="5CB443E5"/>
    <w:rsid w:val="5CB5457D"/>
    <w:rsid w:val="5CE96177"/>
    <w:rsid w:val="5D23703E"/>
    <w:rsid w:val="5D2719C9"/>
    <w:rsid w:val="5D2773E7"/>
    <w:rsid w:val="5D285026"/>
    <w:rsid w:val="5D373386"/>
    <w:rsid w:val="5D5C0E3F"/>
    <w:rsid w:val="5D5D2953"/>
    <w:rsid w:val="5D5E619D"/>
    <w:rsid w:val="5D697358"/>
    <w:rsid w:val="5D747A99"/>
    <w:rsid w:val="5D826A79"/>
    <w:rsid w:val="5D9249ED"/>
    <w:rsid w:val="5DA1646B"/>
    <w:rsid w:val="5DB03139"/>
    <w:rsid w:val="5DC32A29"/>
    <w:rsid w:val="5DDB1F64"/>
    <w:rsid w:val="5DDC5DDB"/>
    <w:rsid w:val="5DE55498"/>
    <w:rsid w:val="5DF04FFA"/>
    <w:rsid w:val="5DF905DA"/>
    <w:rsid w:val="5E063C72"/>
    <w:rsid w:val="5E146BD8"/>
    <w:rsid w:val="5E19167C"/>
    <w:rsid w:val="5E2E51B3"/>
    <w:rsid w:val="5E3653EC"/>
    <w:rsid w:val="5E3C01D4"/>
    <w:rsid w:val="5E5166CA"/>
    <w:rsid w:val="5E6F443D"/>
    <w:rsid w:val="5E70354F"/>
    <w:rsid w:val="5E781EA8"/>
    <w:rsid w:val="5E802B0B"/>
    <w:rsid w:val="5E8C7523"/>
    <w:rsid w:val="5E94632E"/>
    <w:rsid w:val="5E9C2B92"/>
    <w:rsid w:val="5EA762EA"/>
    <w:rsid w:val="5EC837BF"/>
    <w:rsid w:val="5EC87275"/>
    <w:rsid w:val="5F111534"/>
    <w:rsid w:val="5F3A0F0C"/>
    <w:rsid w:val="5F5E606D"/>
    <w:rsid w:val="5F9A0CFC"/>
    <w:rsid w:val="5FA840C8"/>
    <w:rsid w:val="5FB20DDC"/>
    <w:rsid w:val="5FBC6FFC"/>
    <w:rsid w:val="5FD91B32"/>
    <w:rsid w:val="5FDE3D1C"/>
    <w:rsid w:val="5FE07D05"/>
    <w:rsid w:val="5FEB36B0"/>
    <w:rsid w:val="600037C3"/>
    <w:rsid w:val="60070235"/>
    <w:rsid w:val="600B76B1"/>
    <w:rsid w:val="600F0792"/>
    <w:rsid w:val="60117D06"/>
    <w:rsid w:val="60247960"/>
    <w:rsid w:val="60337FBD"/>
    <w:rsid w:val="60455CFD"/>
    <w:rsid w:val="604A33D1"/>
    <w:rsid w:val="60557909"/>
    <w:rsid w:val="60600E46"/>
    <w:rsid w:val="608A1A1F"/>
    <w:rsid w:val="608B596D"/>
    <w:rsid w:val="608E7CA1"/>
    <w:rsid w:val="60B20DDE"/>
    <w:rsid w:val="60B53DBD"/>
    <w:rsid w:val="60B86965"/>
    <w:rsid w:val="60C43183"/>
    <w:rsid w:val="60CF6017"/>
    <w:rsid w:val="60E84D86"/>
    <w:rsid w:val="60EC58A1"/>
    <w:rsid w:val="60F765D6"/>
    <w:rsid w:val="61194815"/>
    <w:rsid w:val="61273959"/>
    <w:rsid w:val="61402D8F"/>
    <w:rsid w:val="616D02E8"/>
    <w:rsid w:val="619B0A4D"/>
    <w:rsid w:val="619E6915"/>
    <w:rsid w:val="619F45F8"/>
    <w:rsid w:val="61BC5698"/>
    <w:rsid w:val="61C05E29"/>
    <w:rsid w:val="61C4413E"/>
    <w:rsid w:val="61D95419"/>
    <w:rsid w:val="61E220CA"/>
    <w:rsid w:val="620A3758"/>
    <w:rsid w:val="620B4DE2"/>
    <w:rsid w:val="620F48D2"/>
    <w:rsid w:val="621F3A28"/>
    <w:rsid w:val="622B10BD"/>
    <w:rsid w:val="622D4D58"/>
    <w:rsid w:val="623817CD"/>
    <w:rsid w:val="623D05EF"/>
    <w:rsid w:val="625671C6"/>
    <w:rsid w:val="626D5F1F"/>
    <w:rsid w:val="62774225"/>
    <w:rsid w:val="627E2DFB"/>
    <w:rsid w:val="628D5A05"/>
    <w:rsid w:val="629635F2"/>
    <w:rsid w:val="62A757FE"/>
    <w:rsid w:val="62B339E5"/>
    <w:rsid w:val="62B9713E"/>
    <w:rsid w:val="62BE3638"/>
    <w:rsid w:val="62DB156F"/>
    <w:rsid w:val="62E35C5C"/>
    <w:rsid w:val="62EA49F7"/>
    <w:rsid w:val="6308602C"/>
    <w:rsid w:val="631B2082"/>
    <w:rsid w:val="6324615B"/>
    <w:rsid w:val="63655BF1"/>
    <w:rsid w:val="6381414F"/>
    <w:rsid w:val="639869FA"/>
    <w:rsid w:val="63A6496D"/>
    <w:rsid w:val="63A83FEC"/>
    <w:rsid w:val="63D92053"/>
    <w:rsid w:val="63E37B79"/>
    <w:rsid w:val="63FA4C32"/>
    <w:rsid w:val="63FC1B88"/>
    <w:rsid w:val="63FF5094"/>
    <w:rsid w:val="64035403"/>
    <w:rsid w:val="642B1E03"/>
    <w:rsid w:val="64334D4A"/>
    <w:rsid w:val="644D4301"/>
    <w:rsid w:val="6477289B"/>
    <w:rsid w:val="649176C0"/>
    <w:rsid w:val="64987293"/>
    <w:rsid w:val="649B2A1E"/>
    <w:rsid w:val="649E57C1"/>
    <w:rsid w:val="64A11F98"/>
    <w:rsid w:val="64A641F4"/>
    <w:rsid w:val="64B0249D"/>
    <w:rsid w:val="64D179F6"/>
    <w:rsid w:val="64D442AC"/>
    <w:rsid w:val="64FD012C"/>
    <w:rsid w:val="650401CF"/>
    <w:rsid w:val="65040F88"/>
    <w:rsid w:val="65256ED5"/>
    <w:rsid w:val="653D52DC"/>
    <w:rsid w:val="655373D5"/>
    <w:rsid w:val="657A0FFC"/>
    <w:rsid w:val="6593581A"/>
    <w:rsid w:val="659F7D1B"/>
    <w:rsid w:val="65A300A1"/>
    <w:rsid w:val="65DB5C3D"/>
    <w:rsid w:val="65DC330D"/>
    <w:rsid w:val="65ED11DD"/>
    <w:rsid w:val="65F00576"/>
    <w:rsid w:val="65F22BB6"/>
    <w:rsid w:val="66126967"/>
    <w:rsid w:val="66383CCB"/>
    <w:rsid w:val="66774BB5"/>
    <w:rsid w:val="66780DEE"/>
    <w:rsid w:val="668E1E21"/>
    <w:rsid w:val="66926F8C"/>
    <w:rsid w:val="66966882"/>
    <w:rsid w:val="66A7157D"/>
    <w:rsid w:val="66B703DE"/>
    <w:rsid w:val="66CE3047"/>
    <w:rsid w:val="66D51A3C"/>
    <w:rsid w:val="66F269C9"/>
    <w:rsid w:val="67285BDC"/>
    <w:rsid w:val="673D5663"/>
    <w:rsid w:val="6779492F"/>
    <w:rsid w:val="67B36479"/>
    <w:rsid w:val="67C1521F"/>
    <w:rsid w:val="67C541F4"/>
    <w:rsid w:val="67D32BDC"/>
    <w:rsid w:val="67D41EE5"/>
    <w:rsid w:val="67E1461B"/>
    <w:rsid w:val="67FB2FC2"/>
    <w:rsid w:val="67FB3202"/>
    <w:rsid w:val="67FC180B"/>
    <w:rsid w:val="6838125F"/>
    <w:rsid w:val="684E7153"/>
    <w:rsid w:val="68572B2F"/>
    <w:rsid w:val="689070BF"/>
    <w:rsid w:val="68942469"/>
    <w:rsid w:val="68996F46"/>
    <w:rsid w:val="68A270B1"/>
    <w:rsid w:val="68E63EB3"/>
    <w:rsid w:val="69180510"/>
    <w:rsid w:val="695157D0"/>
    <w:rsid w:val="69522C18"/>
    <w:rsid w:val="6975567D"/>
    <w:rsid w:val="699D0A15"/>
    <w:rsid w:val="69A41F02"/>
    <w:rsid w:val="69A85914"/>
    <w:rsid w:val="69B54893"/>
    <w:rsid w:val="69BC180F"/>
    <w:rsid w:val="69CE2026"/>
    <w:rsid w:val="69D4612E"/>
    <w:rsid w:val="69DB0334"/>
    <w:rsid w:val="69F0666F"/>
    <w:rsid w:val="69FA018D"/>
    <w:rsid w:val="6A25465E"/>
    <w:rsid w:val="6A31115D"/>
    <w:rsid w:val="6A530131"/>
    <w:rsid w:val="6A572716"/>
    <w:rsid w:val="6A732B1A"/>
    <w:rsid w:val="6A87076D"/>
    <w:rsid w:val="6A9454E3"/>
    <w:rsid w:val="6A945F72"/>
    <w:rsid w:val="6AA3205B"/>
    <w:rsid w:val="6AA47B81"/>
    <w:rsid w:val="6ACF2D0F"/>
    <w:rsid w:val="6ADD27C8"/>
    <w:rsid w:val="6AFC23BD"/>
    <w:rsid w:val="6AFF188E"/>
    <w:rsid w:val="6B030F7C"/>
    <w:rsid w:val="6B1F5D43"/>
    <w:rsid w:val="6B287CCA"/>
    <w:rsid w:val="6B37191E"/>
    <w:rsid w:val="6B3724F2"/>
    <w:rsid w:val="6B3B6738"/>
    <w:rsid w:val="6B4475B1"/>
    <w:rsid w:val="6B447D73"/>
    <w:rsid w:val="6B4D0219"/>
    <w:rsid w:val="6B607F4C"/>
    <w:rsid w:val="6B67752D"/>
    <w:rsid w:val="6B6F1752"/>
    <w:rsid w:val="6B756B33"/>
    <w:rsid w:val="6BA33D44"/>
    <w:rsid w:val="6BD129BE"/>
    <w:rsid w:val="6BDD77EF"/>
    <w:rsid w:val="6BF46467"/>
    <w:rsid w:val="6C3A4C18"/>
    <w:rsid w:val="6C4068D5"/>
    <w:rsid w:val="6C711CE5"/>
    <w:rsid w:val="6C8568B5"/>
    <w:rsid w:val="6CAB51F7"/>
    <w:rsid w:val="6CB00C5D"/>
    <w:rsid w:val="6CCB7647"/>
    <w:rsid w:val="6D0057D8"/>
    <w:rsid w:val="6D0441AB"/>
    <w:rsid w:val="6D481945"/>
    <w:rsid w:val="6D4D1149"/>
    <w:rsid w:val="6D4F4E10"/>
    <w:rsid w:val="6D524B22"/>
    <w:rsid w:val="6D6650F6"/>
    <w:rsid w:val="6D6D32A5"/>
    <w:rsid w:val="6D96704E"/>
    <w:rsid w:val="6DC75409"/>
    <w:rsid w:val="6DFF1F7A"/>
    <w:rsid w:val="6E6A491D"/>
    <w:rsid w:val="6ECD14C3"/>
    <w:rsid w:val="6ED609B9"/>
    <w:rsid w:val="6EF06A3A"/>
    <w:rsid w:val="6F19466E"/>
    <w:rsid w:val="6F231086"/>
    <w:rsid w:val="6F2C1077"/>
    <w:rsid w:val="6F4412DE"/>
    <w:rsid w:val="6F4831D1"/>
    <w:rsid w:val="6F525DFE"/>
    <w:rsid w:val="6F6649B1"/>
    <w:rsid w:val="6FB01FF6"/>
    <w:rsid w:val="6FB50908"/>
    <w:rsid w:val="6FDC5D2F"/>
    <w:rsid w:val="6FEC5DB0"/>
    <w:rsid w:val="6FFA5FC3"/>
    <w:rsid w:val="700E441B"/>
    <w:rsid w:val="702D3037"/>
    <w:rsid w:val="703379DD"/>
    <w:rsid w:val="705624B2"/>
    <w:rsid w:val="70774D12"/>
    <w:rsid w:val="70854008"/>
    <w:rsid w:val="70A00296"/>
    <w:rsid w:val="70AD21AE"/>
    <w:rsid w:val="70D07922"/>
    <w:rsid w:val="70D32F6E"/>
    <w:rsid w:val="70F21646"/>
    <w:rsid w:val="71170489"/>
    <w:rsid w:val="7134603E"/>
    <w:rsid w:val="71902C0D"/>
    <w:rsid w:val="71945132"/>
    <w:rsid w:val="719D47F2"/>
    <w:rsid w:val="71E84DCD"/>
    <w:rsid w:val="72330169"/>
    <w:rsid w:val="724203AC"/>
    <w:rsid w:val="72511D57"/>
    <w:rsid w:val="72525910"/>
    <w:rsid w:val="7272141E"/>
    <w:rsid w:val="72920575"/>
    <w:rsid w:val="729A51BF"/>
    <w:rsid w:val="72C267D6"/>
    <w:rsid w:val="72C31F67"/>
    <w:rsid w:val="73075151"/>
    <w:rsid w:val="730D7B4F"/>
    <w:rsid w:val="730F2443"/>
    <w:rsid w:val="73100A0F"/>
    <w:rsid w:val="73487C44"/>
    <w:rsid w:val="738A19B2"/>
    <w:rsid w:val="73906864"/>
    <w:rsid w:val="73986D48"/>
    <w:rsid w:val="73E3664B"/>
    <w:rsid w:val="74184199"/>
    <w:rsid w:val="74221866"/>
    <w:rsid w:val="74460C31"/>
    <w:rsid w:val="745948C9"/>
    <w:rsid w:val="74782083"/>
    <w:rsid w:val="74786307"/>
    <w:rsid w:val="74933140"/>
    <w:rsid w:val="74B36971"/>
    <w:rsid w:val="74F00783"/>
    <w:rsid w:val="74F21A8E"/>
    <w:rsid w:val="74F23FC5"/>
    <w:rsid w:val="75092D2E"/>
    <w:rsid w:val="751F35C6"/>
    <w:rsid w:val="7521074C"/>
    <w:rsid w:val="752124FA"/>
    <w:rsid w:val="752673FA"/>
    <w:rsid w:val="753D14AD"/>
    <w:rsid w:val="75445278"/>
    <w:rsid w:val="75616D9B"/>
    <w:rsid w:val="756D2420"/>
    <w:rsid w:val="757A60AE"/>
    <w:rsid w:val="75842A89"/>
    <w:rsid w:val="75D33B60"/>
    <w:rsid w:val="75DA7D51"/>
    <w:rsid w:val="75EB0030"/>
    <w:rsid w:val="75FB2A78"/>
    <w:rsid w:val="7608635A"/>
    <w:rsid w:val="761E2EDE"/>
    <w:rsid w:val="764346F2"/>
    <w:rsid w:val="767A1884"/>
    <w:rsid w:val="767A70FF"/>
    <w:rsid w:val="7681376B"/>
    <w:rsid w:val="76CE66B2"/>
    <w:rsid w:val="76E7048B"/>
    <w:rsid w:val="76F679B7"/>
    <w:rsid w:val="771405C6"/>
    <w:rsid w:val="77186802"/>
    <w:rsid w:val="77244002"/>
    <w:rsid w:val="774626EC"/>
    <w:rsid w:val="7759121E"/>
    <w:rsid w:val="77844FC2"/>
    <w:rsid w:val="778C19C1"/>
    <w:rsid w:val="77BA4E88"/>
    <w:rsid w:val="77DE7388"/>
    <w:rsid w:val="77E617D9"/>
    <w:rsid w:val="78104AA8"/>
    <w:rsid w:val="78123276"/>
    <w:rsid w:val="781B6350"/>
    <w:rsid w:val="782A528E"/>
    <w:rsid w:val="784234F5"/>
    <w:rsid w:val="78606B54"/>
    <w:rsid w:val="78661D77"/>
    <w:rsid w:val="787542C9"/>
    <w:rsid w:val="787C4A52"/>
    <w:rsid w:val="787D1A38"/>
    <w:rsid w:val="78833D88"/>
    <w:rsid w:val="78970D25"/>
    <w:rsid w:val="78C70562"/>
    <w:rsid w:val="78F148D9"/>
    <w:rsid w:val="7908482C"/>
    <w:rsid w:val="792279DB"/>
    <w:rsid w:val="7948489C"/>
    <w:rsid w:val="797C1AA1"/>
    <w:rsid w:val="79A731EA"/>
    <w:rsid w:val="79AB2C72"/>
    <w:rsid w:val="79B25E17"/>
    <w:rsid w:val="7A22179C"/>
    <w:rsid w:val="7A224071"/>
    <w:rsid w:val="7A2E4173"/>
    <w:rsid w:val="7A6A2399"/>
    <w:rsid w:val="7A6F26A9"/>
    <w:rsid w:val="7A934CC7"/>
    <w:rsid w:val="7AAD65DE"/>
    <w:rsid w:val="7AAD7251"/>
    <w:rsid w:val="7AB53B21"/>
    <w:rsid w:val="7AB93CAD"/>
    <w:rsid w:val="7AC027B5"/>
    <w:rsid w:val="7ACC2F08"/>
    <w:rsid w:val="7AD43015"/>
    <w:rsid w:val="7AD43747"/>
    <w:rsid w:val="7AD718AD"/>
    <w:rsid w:val="7AD745BE"/>
    <w:rsid w:val="7ADD5745"/>
    <w:rsid w:val="7AFB7263"/>
    <w:rsid w:val="7B050F64"/>
    <w:rsid w:val="7B062FF2"/>
    <w:rsid w:val="7B4235E1"/>
    <w:rsid w:val="7B4771D3"/>
    <w:rsid w:val="7B4969DA"/>
    <w:rsid w:val="7B4B57FE"/>
    <w:rsid w:val="7B5F0CE7"/>
    <w:rsid w:val="7BBA7BC4"/>
    <w:rsid w:val="7BF444AB"/>
    <w:rsid w:val="7BFE0356"/>
    <w:rsid w:val="7C050FEE"/>
    <w:rsid w:val="7C152DB6"/>
    <w:rsid w:val="7C1F696C"/>
    <w:rsid w:val="7C241FA4"/>
    <w:rsid w:val="7C2F7F24"/>
    <w:rsid w:val="7C3513D5"/>
    <w:rsid w:val="7C4F6127"/>
    <w:rsid w:val="7C557027"/>
    <w:rsid w:val="7C5F4F28"/>
    <w:rsid w:val="7C705B15"/>
    <w:rsid w:val="7C743857"/>
    <w:rsid w:val="7C774202"/>
    <w:rsid w:val="7CF32D47"/>
    <w:rsid w:val="7CF47DC4"/>
    <w:rsid w:val="7D2D7E4F"/>
    <w:rsid w:val="7D3D1C6F"/>
    <w:rsid w:val="7D7D2444"/>
    <w:rsid w:val="7DC17AA5"/>
    <w:rsid w:val="7DC225BC"/>
    <w:rsid w:val="7DD947CA"/>
    <w:rsid w:val="7DD949C1"/>
    <w:rsid w:val="7E3F400C"/>
    <w:rsid w:val="7E3F5C67"/>
    <w:rsid w:val="7E485A8B"/>
    <w:rsid w:val="7E710432"/>
    <w:rsid w:val="7E723DC7"/>
    <w:rsid w:val="7E784FFE"/>
    <w:rsid w:val="7E985A2E"/>
    <w:rsid w:val="7EAF56A8"/>
    <w:rsid w:val="7EBF2EFE"/>
    <w:rsid w:val="7EC7030B"/>
    <w:rsid w:val="7ED26AAB"/>
    <w:rsid w:val="7F0D36A8"/>
    <w:rsid w:val="7F0D6F9B"/>
    <w:rsid w:val="7F267E5E"/>
    <w:rsid w:val="7F315A30"/>
    <w:rsid w:val="7F511034"/>
    <w:rsid w:val="7F531E4A"/>
    <w:rsid w:val="7F5C1736"/>
    <w:rsid w:val="7F6F772F"/>
    <w:rsid w:val="7FA8044F"/>
    <w:rsid w:val="7FB12B06"/>
    <w:rsid w:val="7FD12D6F"/>
    <w:rsid w:val="7FD840FD"/>
    <w:rsid w:val="7FF30DF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4"/>
    <w:qFormat/>
    <w:uiPriority w:val="0"/>
    <w:pPr>
      <w:keepNext/>
      <w:jc w:val="center"/>
      <w:outlineLvl w:val="0"/>
    </w:pPr>
    <w:rPr>
      <w:b/>
      <w:bCs/>
      <w:kern w:val="0"/>
      <w:sz w:val="24"/>
      <w:szCs w:val="20"/>
    </w:rPr>
  </w:style>
  <w:style w:type="paragraph" w:styleId="7">
    <w:name w:val="heading 2"/>
    <w:basedOn w:val="1"/>
    <w:next w:val="1"/>
    <w:link w:val="65"/>
    <w:qFormat/>
    <w:uiPriority w:val="0"/>
    <w:pPr>
      <w:keepNext/>
      <w:keepLines/>
      <w:spacing w:line="360" w:lineRule="auto"/>
      <w:outlineLvl w:val="1"/>
    </w:pPr>
    <w:rPr>
      <w:rFonts w:ascii="Arial" w:hAnsi="Arial"/>
      <w:b/>
      <w:bCs/>
      <w:kern w:val="0"/>
      <w:sz w:val="24"/>
      <w:szCs w:val="32"/>
    </w:rPr>
  </w:style>
  <w:style w:type="paragraph" w:styleId="8">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9">
    <w:name w:val="heading 4"/>
    <w:basedOn w:val="1"/>
    <w:next w:val="1"/>
    <w:link w:val="67"/>
    <w:qFormat/>
    <w:uiPriority w:val="0"/>
    <w:pPr>
      <w:keepNext/>
      <w:keepLines/>
      <w:spacing w:before="280" w:after="290" w:line="376" w:lineRule="auto"/>
      <w:outlineLvl w:val="3"/>
    </w:pPr>
    <w:rPr>
      <w:rFonts w:ascii="Arial" w:hAnsi="Arial" w:eastAsia="黑体"/>
      <w:b/>
      <w:bCs/>
      <w:kern w:val="0"/>
      <w:sz w:val="28"/>
      <w:szCs w:val="28"/>
    </w:rPr>
  </w:style>
  <w:style w:type="paragraph" w:styleId="10">
    <w:name w:val="heading 5"/>
    <w:basedOn w:val="1"/>
    <w:next w:val="1"/>
    <w:link w:val="6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11">
    <w:name w:val="heading 6"/>
    <w:basedOn w:val="1"/>
    <w:next w:val="1"/>
    <w:link w:val="6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2">
    <w:name w:val="heading 7"/>
    <w:basedOn w:val="1"/>
    <w:next w:val="1"/>
    <w:link w:val="70"/>
    <w:qFormat/>
    <w:uiPriority w:val="0"/>
    <w:pPr>
      <w:keepNext/>
      <w:keepLines/>
      <w:adjustRightInd w:val="0"/>
      <w:spacing w:before="240" w:after="64" w:line="320" w:lineRule="atLeast"/>
      <w:jc w:val="left"/>
      <w:textAlignment w:val="baseline"/>
      <w:outlineLvl w:val="6"/>
    </w:pPr>
    <w:rPr>
      <w:b/>
      <w:bCs/>
      <w:kern w:val="0"/>
      <w:sz w:val="24"/>
    </w:rPr>
  </w:style>
  <w:style w:type="paragraph" w:styleId="13">
    <w:name w:val="heading 8"/>
    <w:basedOn w:val="1"/>
    <w:next w:val="1"/>
    <w:link w:val="7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4">
    <w:name w:val="heading 9"/>
    <w:basedOn w:val="1"/>
    <w:next w:val="1"/>
    <w:link w:val="72"/>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cs="Calibri"/>
      <w:kern w:val="0"/>
    </w:rPr>
  </w:style>
  <w:style w:type="paragraph" w:styleId="3">
    <w:name w:val="Body Text Indent"/>
    <w:basedOn w:val="1"/>
    <w:next w:val="4"/>
    <w:link w:val="98"/>
    <w:qFormat/>
    <w:uiPriority w:val="0"/>
    <w:pPr>
      <w:spacing w:after="120"/>
      <w:ind w:left="420" w:leftChars="200"/>
    </w:pPr>
    <w:rPr>
      <w:rFonts w:ascii="Calibri" w:hAnsi="Calibri" w:cs="黑体"/>
    </w:rPr>
  </w:style>
  <w:style w:type="paragraph" w:styleId="4">
    <w:name w:val="annotation subject"/>
    <w:basedOn w:val="5"/>
    <w:next w:val="1"/>
    <w:link w:val="87"/>
    <w:qFormat/>
    <w:uiPriority w:val="0"/>
    <w:rPr>
      <w:rFonts w:ascii="Calibri" w:hAnsi="Calibri" w:cs="黑体"/>
      <w:b/>
      <w:bCs/>
    </w:rPr>
  </w:style>
  <w:style w:type="paragraph" w:styleId="5">
    <w:name w:val="annotation text"/>
    <w:basedOn w:val="1"/>
    <w:link w:val="110"/>
    <w:unhideWhenUsed/>
    <w:qFormat/>
    <w:uiPriority w:val="99"/>
    <w:pPr>
      <w:jc w:val="left"/>
    </w:pPr>
  </w:style>
  <w:style w:type="paragraph" w:styleId="15">
    <w:name w:val="toc 7"/>
    <w:basedOn w:val="1"/>
    <w:next w:val="1"/>
    <w:qFormat/>
    <w:uiPriority w:val="0"/>
    <w:pPr>
      <w:ind w:left="2520" w:leftChars="1200"/>
    </w:pPr>
    <w:rPr>
      <w:rFonts w:ascii="Calibri" w:hAnsi="Calibri"/>
      <w:szCs w:val="22"/>
    </w:rPr>
  </w:style>
  <w:style w:type="paragraph" w:styleId="16">
    <w:name w:val="table of authorities"/>
    <w:basedOn w:val="1"/>
    <w:next w:val="1"/>
    <w:qFormat/>
    <w:uiPriority w:val="99"/>
    <w:pPr>
      <w:ind w:left="420" w:leftChars="200"/>
    </w:pPr>
  </w:style>
  <w:style w:type="paragraph" w:styleId="17">
    <w:name w:val="Normal Indent"/>
    <w:basedOn w:val="1"/>
    <w:link w:val="294"/>
    <w:qFormat/>
    <w:uiPriority w:val="99"/>
    <w:pPr>
      <w:widowControl/>
      <w:ind w:firstLine="420"/>
      <w:jc w:val="left"/>
    </w:pPr>
    <w:rPr>
      <w:kern w:val="0"/>
      <w:sz w:val="20"/>
      <w:szCs w:val="20"/>
    </w:rPr>
  </w:style>
  <w:style w:type="paragraph" w:styleId="18">
    <w:name w:val="Document Map"/>
    <w:basedOn w:val="1"/>
    <w:link w:val="128"/>
    <w:qFormat/>
    <w:uiPriority w:val="0"/>
    <w:pPr>
      <w:shd w:val="clear" w:color="auto" w:fill="000080"/>
    </w:pPr>
  </w:style>
  <w:style w:type="paragraph" w:styleId="19">
    <w:name w:val="toa heading"/>
    <w:basedOn w:val="1"/>
    <w:next w:val="1"/>
    <w:unhideWhenUsed/>
    <w:qFormat/>
    <w:uiPriority w:val="0"/>
    <w:pPr>
      <w:spacing w:before="120"/>
    </w:pPr>
    <w:rPr>
      <w:rFonts w:hint="eastAsia" w:ascii="Arial" w:hAnsi="Arial"/>
    </w:rPr>
  </w:style>
  <w:style w:type="paragraph" w:styleId="20">
    <w:name w:val="Salutation"/>
    <w:basedOn w:val="1"/>
    <w:next w:val="1"/>
    <w:link w:val="115"/>
    <w:qFormat/>
    <w:uiPriority w:val="0"/>
    <w:rPr>
      <w:rFonts w:ascii="仿宋_GB2312" w:eastAsia="仿宋_GB2312"/>
      <w:sz w:val="24"/>
    </w:rPr>
  </w:style>
  <w:style w:type="paragraph" w:styleId="21">
    <w:name w:val="Body Text 3"/>
    <w:basedOn w:val="1"/>
    <w:link w:val="149"/>
    <w:qFormat/>
    <w:uiPriority w:val="0"/>
    <w:pPr>
      <w:autoSpaceDE w:val="0"/>
      <w:autoSpaceDN w:val="0"/>
      <w:adjustRightInd w:val="0"/>
      <w:spacing w:line="410" w:lineRule="atLeast"/>
      <w:jc w:val="left"/>
    </w:pPr>
    <w:rPr>
      <w:rFonts w:ascii="宋体"/>
      <w:color w:val="000000"/>
      <w:kern w:val="0"/>
      <w:sz w:val="24"/>
      <w:szCs w:val="20"/>
    </w:rPr>
  </w:style>
  <w:style w:type="paragraph" w:styleId="22">
    <w:name w:val="Body Text"/>
    <w:basedOn w:val="1"/>
    <w:next w:val="1"/>
    <w:link w:val="118"/>
    <w:qFormat/>
    <w:uiPriority w:val="99"/>
    <w:pPr>
      <w:spacing w:after="120"/>
    </w:pPr>
  </w:style>
  <w:style w:type="paragraph" w:styleId="23">
    <w:name w:val="List 2"/>
    <w:qFormat/>
    <w:uiPriority w:val="0"/>
    <w:pPr>
      <w:spacing w:line="400" w:lineRule="exact"/>
      <w:jc w:val="center"/>
    </w:pPr>
    <w:rPr>
      <w:rFonts w:ascii="Arial" w:hAnsi="Arial" w:eastAsia="宋体" w:cs="Times New Roman"/>
      <w:sz w:val="24"/>
      <w:lang w:val="en-US" w:eastAsia="zh-CN" w:bidi="ar-SA"/>
    </w:rPr>
  </w:style>
  <w:style w:type="paragraph" w:styleId="24">
    <w:name w:val="Block Text"/>
    <w:basedOn w:val="1"/>
    <w:qFormat/>
    <w:uiPriority w:val="0"/>
    <w:pPr>
      <w:ind w:left="1171" w:right="91" w:hanging="1080"/>
    </w:pPr>
    <w:rPr>
      <w:rFonts w:eastAsia="楷体_GB2312"/>
      <w:szCs w:val="20"/>
    </w:rPr>
  </w:style>
  <w:style w:type="paragraph" w:styleId="25">
    <w:name w:val="toc 5"/>
    <w:basedOn w:val="1"/>
    <w:next w:val="1"/>
    <w:qFormat/>
    <w:uiPriority w:val="0"/>
    <w:pPr>
      <w:ind w:left="1680" w:leftChars="800"/>
    </w:pPr>
    <w:rPr>
      <w:rFonts w:ascii="Calibri" w:hAnsi="Calibri"/>
      <w:szCs w:val="22"/>
    </w:rPr>
  </w:style>
  <w:style w:type="paragraph" w:styleId="26">
    <w:name w:val="toc 3"/>
    <w:basedOn w:val="1"/>
    <w:next w:val="1"/>
    <w:qFormat/>
    <w:uiPriority w:val="39"/>
    <w:pPr>
      <w:ind w:left="840" w:leftChars="400"/>
    </w:pPr>
  </w:style>
  <w:style w:type="paragraph" w:styleId="27">
    <w:name w:val="Plain Text"/>
    <w:basedOn w:val="1"/>
    <w:link w:val="107"/>
    <w:qFormat/>
    <w:uiPriority w:val="0"/>
    <w:rPr>
      <w:rFonts w:ascii="宋体" w:hAnsi="Courier New" w:cs="Courier New"/>
      <w:szCs w:val="21"/>
    </w:rPr>
  </w:style>
  <w:style w:type="paragraph" w:styleId="28">
    <w:name w:val="toc 8"/>
    <w:basedOn w:val="1"/>
    <w:next w:val="1"/>
    <w:qFormat/>
    <w:uiPriority w:val="0"/>
    <w:pPr>
      <w:ind w:left="2940" w:leftChars="1400"/>
    </w:pPr>
    <w:rPr>
      <w:rFonts w:ascii="Calibri" w:hAnsi="Calibri"/>
      <w:szCs w:val="22"/>
    </w:rPr>
  </w:style>
  <w:style w:type="paragraph" w:styleId="29">
    <w:name w:val="Date"/>
    <w:basedOn w:val="1"/>
    <w:next w:val="1"/>
    <w:link w:val="140"/>
    <w:qFormat/>
    <w:uiPriority w:val="0"/>
    <w:rPr>
      <w:rFonts w:ascii="Calibri" w:hAnsi="Calibri" w:cs="黑体"/>
      <w:sz w:val="24"/>
      <w:szCs w:val="22"/>
    </w:rPr>
  </w:style>
  <w:style w:type="paragraph" w:styleId="30">
    <w:name w:val="Body Text Indent 2"/>
    <w:basedOn w:val="1"/>
    <w:link w:val="102"/>
    <w:qFormat/>
    <w:uiPriority w:val="0"/>
    <w:pPr>
      <w:spacing w:after="120" w:line="480" w:lineRule="auto"/>
      <w:ind w:left="420" w:leftChars="200"/>
    </w:pPr>
  </w:style>
  <w:style w:type="paragraph" w:styleId="31">
    <w:name w:val="Balloon Text"/>
    <w:basedOn w:val="1"/>
    <w:link w:val="97"/>
    <w:qFormat/>
    <w:uiPriority w:val="0"/>
    <w:rPr>
      <w:rFonts w:ascii="Calibri" w:hAnsi="Calibri" w:cs="黑体"/>
      <w:sz w:val="18"/>
      <w:szCs w:val="18"/>
    </w:rPr>
  </w:style>
  <w:style w:type="paragraph" w:styleId="32">
    <w:name w:val="footer"/>
    <w:basedOn w:val="1"/>
    <w:link w:val="63"/>
    <w:unhideWhenUsed/>
    <w:qFormat/>
    <w:uiPriority w:val="0"/>
    <w:pPr>
      <w:tabs>
        <w:tab w:val="center" w:pos="4153"/>
        <w:tab w:val="right" w:pos="8306"/>
      </w:tabs>
      <w:snapToGrid w:val="0"/>
      <w:jc w:val="left"/>
    </w:pPr>
    <w:rPr>
      <w:sz w:val="18"/>
      <w:szCs w:val="18"/>
    </w:rPr>
  </w:style>
  <w:style w:type="paragraph" w:styleId="33">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9"/>
    <w:unhideWhenUsed/>
    <w:qFormat/>
    <w:uiPriority w:val="39"/>
  </w:style>
  <w:style w:type="paragraph" w:styleId="35">
    <w:name w:val="toc 4"/>
    <w:basedOn w:val="1"/>
    <w:next w:val="1"/>
    <w:qFormat/>
    <w:uiPriority w:val="0"/>
    <w:pPr>
      <w:ind w:left="1260" w:leftChars="600"/>
    </w:pPr>
  </w:style>
  <w:style w:type="paragraph" w:styleId="36">
    <w:name w:val="Subtitle"/>
    <w:basedOn w:val="1"/>
    <w:next w:val="1"/>
    <w:link w:val="126"/>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7">
    <w:name w:val="toc 6"/>
    <w:basedOn w:val="1"/>
    <w:next w:val="1"/>
    <w:qFormat/>
    <w:uiPriority w:val="0"/>
    <w:pPr>
      <w:ind w:left="2100" w:leftChars="1000"/>
    </w:pPr>
    <w:rPr>
      <w:rFonts w:ascii="Calibri" w:hAnsi="Calibri"/>
      <w:szCs w:val="22"/>
    </w:rPr>
  </w:style>
  <w:style w:type="paragraph" w:styleId="38">
    <w:name w:val="Body Text Indent 3"/>
    <w:basedOn w:val="1"/>
    <w:link w:val="125"/>
    <w:qFormat/>
    <w:uiPriority w:val="0"/>
    <w:pPr>
      <w:spacing w:after="120"/>
      <w:ind w:left="420" w:leftChars="200"/>
    </w:pPr>
    <w:rPr>
      <w:rFonts w:ascii="Calibri" w:hAnsi="Calibri" w:cs="黑体"/>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ind w:left="3360" w:leftChars="1600"/>
    </w:pPr>
    <w:rPr>
      <w:rFonts w:ascii="Calibri" w:hAnsi="Calibri"/>
      <w:szCs w:val="22"/>
    </w:rPr>
  </w:style>
  <w:style w:type="paragraph" w:styleId="41">
    <w:name w:val="Body Text 2"/>
    <w:basedOn w:val="1"/>
    <w:link w:val="73"/>
    <w:qFormat/>
    <w:uiPriority w:val="0"/>
    <w:pPr>
      <w:spacing w:after="120" w:line="480" w:lineRule="auto"/>
    </w:pPr>
  </w:style>
  <w:style w:type="paragraph" w:styleId="42">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pPr>
      <w:spacing w:line="220" w:lineRule="exact"/>
      <w:jc w:val="center"/>
    </w:pPr>
    <w:rPr>
      <w:rFonts w:ascii="仿宋_GB2312" w:eastAsia="仿宋_GB2312"/>
      <w:szCs w:val="20"/>
    </w:rPr>
  </w:style>
  <w:style w:type="paragraph" w:styleId="45">
    <w:name w:val="Title"/>
    <w:basedOn w:val="1"/>
    <w:next w:val="1"/>
    <w:link w:val="101"/>
    <w:qFormat/>
    <w:uiPriority w:val="0"/>
    <w:pPr>
      <w:spacing w:before="240" w:after="60"/>
      <w:jc w:val="center"/>
      <w:outlineLvl w:val="0"/>
    </w:pPr>
    <w:rPr>
      <w:rFonts w:ascii="Cambria" w:hAnsi="Cambria"/>
      <w:b/>
      <w:sz w:val="32"/>
    </w:rPr>
  </w:style>
  <w:style w:type="paragraph" w:styleId="46">
    <w:name w:val="Body Text First Indent"/>
    <w:basedOn w:val="22"/>
    <w:link w:val="176"/>
    <w:unhideWhenUsed/>
    <w:qFormat/>
    <w:uiPriority w:val="0"/>
    <w:pPr>
      <w:spacing w:line="500" w:lineRule="exact"/>
      <w:ind w:firstLine="420" w:firstLineChars="200"/>
    </w:p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basedOn w:val="49"/>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页眉 字符"/>
    <w:basedOn w:val="49"/>
    <w:link w:val="33"/>
    <w:qFormat/>
    <w:uiPriority w:val="0"/>
    <w:rPr>
      <w:sz w:val="18"/>
      <w:szCs w:val="18"/>
    </w:rPr>
  </w:style>
  <w:style w:type="character" w:customStyle="1" w:styleId="63">
    <w:name w:val="页脚 字符"/>
    <w:basedOn w:val="49"/>
    <w:link w:val="32"/>
    <w:qFormat/>
    <w:uiPriority w:val="0"/>
    <w:rPr>
      <w:sz w:val="18"/>
      <w:szCs w:val="18"/>
    </w:rPr>
  </w:style>
  <w:style w:type="character" w:customStyle="1" w:styleId="64">
    <w:name w:val="标题 1 字符"/>
    <w:basedOn w:val="49"/>
    <w:link w:val="6"/>
    <w:qFormat/>
    <w:uiPriority w:val="0"/>
    <w:rPr>
      <w:rFonts w:ascii="Times New Roman" w:hAnsi="Times New Roman" w:eastAsia="宋体" w:cs="Times New Roman"/>
      <w:b/>
      <w:bCs/>
      <w:kern w:val="0"/>
      <w:sz w:val="24"/>
      <w:szCs w:val="20"/>
    </w:rPr>
  </w:style>
  <w:style w:type="character" w:customStyle="1" w:styleId="65">
    <w:name w:val="标题 2 字符"/>
    <w:basedOn w:val="49"/>
    <w:link w:val="7"/>
    <w:qFormat/>
    <w:uiPriority w:val="0"/>
    <w:rPr>
      <w:rFonts w:ascii="Arial" w:hAnsi="Arial" w:eastAsia="宋体" w:cs="Times New Roman"/>
      <w:b/>
      <w:bCs/>
      <w:kern w:val="0"/>
      <w:sz w:val="24"/>
      <w:szCs w:val="32"/>
    </w:rPr>
  </w:style>
  <w:style w:type="character" w:customStyle="1" w:styleId="66">
    <w:name w:val="标题 3 字符"/>
    <w:basedOn w:val="49"/>
    <w:link w:val="8"/>
    <w:qFormat/>
    <w:uiPriority w:val="0"/>
    <w:rPr>
      <w:rFonts w:ascii="Times New Roman" w:hAnsi="Times New Roman" w:eastAsia="宋体" w:cs="Times New Roman"/>
      <w:b/>
      <w:bCs/>
      <w:kern w:val="0"/>
      <w:sz w:val="32"/>
      <w:szCs w:val="32"/>
    </w:rPr>
  </w:style>
  <w:style w:type="character" w:customStyle="1" w:styleId="67">
    <w:name w:val="标题 4 字符"/>
    <w:basedOn w:val="49"/>
    <w:link w:val="9"/>
    <w:qFormat/>
    <w:uiPriority w:val="0"/>
    <w:rPr>
      <w:rFonts w:ascii="Arial" w:hAnsi="Arial" w:eastAsia="黑体" w:cs="Times New Roman"/>
      <w:b/>
      <w:bCs/>
      <w:kern w:val="0"/>
      <w:sz w:val="28"/>
      <w:szCs w:val="28"/>
    </w:rPr>
  </w:style>
  <w:style w:type="character" w:customStyle="1" w:styleId="68">
    <w:name w:val="标题 5 字符"/>
    <w:basedOn w:val="49"/>
    <w:link w:val="10"/>
    <w:qFormat/>
    <w:uiPriority w:val="0"/>
    <w:rPr>
      <w:rFonts w:ascii="Times New Roman" w:hAnsi="Times New Roman" w:eastAsia="宋体" w:cs="Times New Roman"/>
      <w:b/>
      <w:bCs/>
      <w:kern w:val="0"/>
      <w:sz w:val="28"/>
      <w:szCs w:val="28"/>
    </w:rPr>
  </w:style>
  <w:style w:type="character" w:customStyle="1" w:styleId="69">
    <w:name w:val="标题 6 字符"/>
    <w:basedOn w:val="49"/>
    <w:link w:val="11"/>
    <w:qFormat/>
    <w:uiPriority w:val="0"/>
    <w:rPr>
      <w:rFonts w:ascii="Arial" w:hAnsi="Arial" w:eastAsia="黑体" w:cs="Times New Roman"/>
      <w:b/>
      <w:bCs/>
      <w:kern w:val="0"/>
      <w:sz w:val="24"/>
      <w:szCs w:val="24"/>
    </w:rPr>
  </w:style>
  <w:style w:type="character" w:customStyle="1" w:styleId="70">
    <w:name w:val="标题 7 字符"/>
    <w:basedOn w:val="49"/>
    <w:link w:val="12"/>
    <w:qFormat/>
    <w:uiPriority w:val="0"/>
    <w:rPr>
      <w:rFonts w:ascii="Times New Roman" w:hAnsi="Times New Roman" w:eastAsia="宋体" w:cs="Times New Roman"/>
      <w:b/>
      <w:bCs/>
      <w:kern w:val="0"/>
      <w:sz w:val="24"/>
      <w:szCs w:val="24"/>
    </w:rPr>
  </w:style>
  <w:style w:type="character" w:customStyle="1" w:styleId="71">
    <w:name w:val="标题 8 字符"/>
    <w:basedOn w:val="49"/>
    <w:link w:val="13"/>
    <w:qFormat/>
    <w:uiPriority w:val="0"/>
    <w:rPr>
      <w:rFonts w:ascii="Arial" w:hAnsi="Arial" w:eastAsia="黑体" w:cs="Times New Roman"/>
      <w:kern w:val="0"/>
      <w:sz w:val="24"/>
      <w:szCs w:val="24"/>
    </w:rPr>
  </w:style>
  <w:style w:type="character" w:customStyle="1" w:styleId="72">
    <w:name w:val="标题 9 字符"/>
    <w:basedOn w:val="49"/>
    <w:link w:val="14"/>
    <w:qFormat/>
    <w:uiPriority w:val="0"/>
    <w:rPr>
      <w:rFonts w:ascii="Arial" w:hAnsi="Arial" w:eastAsia="黑体" w:cs="Times New Roman"/>
      <w:kern w:val="0"/>
      <w:sz w:val="20"/>
      <w:szCs w:val="21"/>
    </w:rPr>
  </w:style>
  <w:style w:type="character" w:customStyle="1" w:styleId="73">
    <w:name w:val="正文文本 2 字符"/>
    <w:basedOn w:val="49"/>
    <w:link w:val="41"/>
    <w:qFormat/>
    <w:uiPriority w:val="0"/>
    <w:rPr>
      <w:rFonts w:ascii="Times New Roman" w:hAnsi="Times New Roman" w:eastAsia="宋体" w:cs="Times New Roman"/>
      <w:szCs w:val="24"/>
    </w:rPr>
  </w:style>
  <w:style w:type="character" w:customStyle="1" w:styleId="74">
    <w:name w:val="Font Style104"/>
    <w:unhideWhenUsed/>
    <w:qFormat/>
    <w:uiPriority w:val="0"/>
    <w:rPr>
      <w:rFonts w:hint="eastAsia" w:ascii="宋体" w:hAnsi="宋体" w:eastAsia="宋体"/>
      <w:spacing w:val="30"/>
      <w:sz w:val="18"/>
    </w:rPr>
  </w:style>
  <w:style w:type="character" w:customStyle="1" w:styleId="75">
    <w:name w:val="Font Style128"/>
    <w:unhideWhenUsed/>
    <w:qFormat/>
    <w:uiPriority w:val="0"/>
    <w:rPr>
      <w:rFonts w:hint="eastAsia" w:ascii="Times New Roman" w:hAnsi="Times New Roman" w:eastAsia="Times New Roman"/>
      <w:sz w:val="16"/>
    </w:rPr>
  </w:style>
  <w:style w:type="character" w:customStyle="1" w:styleId="76">
    <w:name w:val="页脚 Char1"/>
    <w:qFormat/>
    <w:uiPriority w:val="0"/>
    <w:rPr>
      <w:rFonts w:eastAsia="宋体"/>
      <w:kern w:val="2"/>
      <w:sz w:val="18"/>
      <w:szCs w:val="18"/>
      <w:lang w:val="en-US" w:eastAsia="zh-CN" w:bidi="ar-SA"/>
    </w:rPr>
  </w:style>
  <w:style w:type="character" w:customStyle="1" w:styleId="77">
    <w:name w:val="标题 4 Char"/>
    <w:basedOn w:val="49"/>
    <w:qFormat/>
    <w:uiPriority w:val="0"/>
    <w:rPr>
      <w:rFonts w:ascii="Cambria" w:hAnsi="Cambria" w:eastAsia="宋体" w:cs="Times New Roman"/>
      <w:b/>
      <w:bCs/>
      <w:sz w:val="28"/>
      <w:szCs w:val="28"/>
    </w:rPr>
  </w:style>
  <w:style w:type="character" w:customStyle="1" w:styleId="78">
    <w:name w:val="日期 Char"/>
    <w:basedOn w:val="49"/>
    <w:qFormat/>
    <w:uiPriority w:val="0"/>
    <w:rPr>
      <w:rFonts w:ascii="Times New Roman" w:hAnsi="Times New Roman" w:eastAsia="宋体" w:cs="Times New Roman"/>
      <w:szCs w:val="24"/>
    </w:rPr>
  </w:style>
  <w:style w:type="character" w:customStyle="1" w:styleId="79">
    <w:name w:val="Font Style123"/>
    <w:unhideWhenUsed/>
    <w:qFormat/>
    <w:uiPriority w:val="0"/>
    <w:rPr>
      <w:rFonts w:hint="eastAsia" w:ascii="宋体" w:hAnsi="宋体" w:eastAsia="宋体"/>
      <w:b/>
      <w:sz w:val="32"/>
    </w:rPr>
  </w:style>
  <w:style w:type="character" w:customStyle="1" w:styleId="80">
    <w:name w:val="bds_nopic2"/>
    <w:qFormat/>
    <w:uiPriority w:val="0"/>
    <w:rPr>
      <w:rFonts w:ascii="Times New Roman" w:hAnsi="Times New Roman" w:eastAsia="宋体"/>
    </w:rPr>
  </w:style>
  <w:style w:type="character" w:customStyle="1" w:styleId="81">
    <w:name w:val="lemmatitleh12"/>
    <w:qFormat/>
    <w:uiPriority w:val="0"/>
    <w:rPr>
      <w:rFonts w:ascii="Times New Roman" w:hAnsi="Times New Roman" w:eastAsia="宋体"/>
    </w:rPr>
  </w:style>
  <w:style w:type="character" w:customStyle="1" w:styleId="82">
    <w:name w:val="Char Char13"/>
    <w:qFormat/>
    <w:uiPriority w:val="0"/>
    <w:rPr>
      <w:rFonts w:eastAsia="宋体"/>
      <w:b/>
      <w:bCs/>
      <w:kern w:val="2"/>
      <w:sz w:val="24"/>
      <w:lang w:val="en-US" w:eastAsia="zh-CN" w:bidi="ar-SA"/>
    </w:rPr>
  </w:style>
  <w:style w:type="character" w:customStyle="1" w:styleId="83">
    <w:name w:val="Font Style94"/>
    <w:unhideWhenUsed/>
    <w:qFormat/>
    <w:uiPriority w:val="0"/>
    <w:rPr>
      <w:rFonts w:hint="eastAsia" w:ascii="Times New Roman" w:hAnsi="Times New Roman" w:eastAsia="Times New Roman"/>
      <w:sz w:val="28"/>
    </w:rPr>
  </w:style>
  <w:style w:type="character" w:customStyle="1" w:styleId="84">
    <w:name w:val="Font Style125"/>
    <w:unhideWhenUsed/>
    <w:qFormat/>
    <w:uiPriority w:val="0"/>
    <w:rPr>
      <w:rFonts w:hint="eastAsia" w:ascii="宋体" w:hAnsi="宋体" w:eastAsia="宋体"/>
      <w:b/>
      <w:sz w:val="26"/>
    </w:rPr>
  </w:style>
  <w:style w:type="character" w:customStyle="1" w:styleId="85">
    <w:name w:val="Font Style133"/>
    <w:unhideWhenUsed/>
    <w:qFormat/>
    <w:uiPriority w:val="0"/>
    <w:rPr>
      <w:rFonts w:hint="eastAsia" w:ascii="宋体" w:hAnsi="宋体" w:eastAsia="宋体"/>
      <w:spacing w:val="30"/>
      <w:sz w:val="24"/>
    </w:rPr>
  </w:style>
  <w:style w:type="character" w:customStyle="1" w:styleId="86">
    <w:name w:val="polysemyred"/>
    <w:qFormat/>
    <w:uiPriority w:val="0"/>
    <w:rPr>
      <w:rFonts w:ascii="Times New Roman" w:hAnsi="Times New Roman" w:eastAsia="宋体"/>
      <w:color w:val="FF6666"/>
      <w:sz w:val="18"/>
      <w:szCs w:val="18"/>
    </w:rPr>
  </w:style>
  <w:style w:type="character" w:customStyle="1" w:styleId="87">
    <w:name w:val="批注主题 字符"/>
    <w:link w:val="4"/>
    <w:qFormat/>
    <w:uiPriority w:val="0"/>
    <w:rPr>
      <w:rFonts w:ascii="Calibri" w:hAnsi="Calibri" w:eastAsia="宋体" w:cs="黑体"/>
      <w:b/>
      <w:bCs/>
      <w:szCs w:val="24"/>
    </w:rPr>
  </w:style>
  <w:style w:type="character" w:customStyle="1" w:styleId="88">
    <w:name w:val="p0 Char"/>
    <w:link w:val="89"/>
    <w:qFormat/>
    <w:uiPriority w:val="0"/>
    <w:rPr>
      <w:rFonts w:ascii="Calibri" w:hAnsi="Calibri" w:eastAsia="宋体" w:cs="黑体"/>
      <w:szCs w:val="21"/>
    </w:rPr>
  </w:style>
  <w:style w:type="paragraph" w:customStyle="1" w:styleId="89">
    <w:name w:val="p0"/>
    <w:basedOn w:val="1"/>
    <w:link w:val="88"/>
    <w:qFormat/>
    <w:uiPriority w:val="0"/>
    <w:pPr>
      <w:widowControl/>
    </w:pPr>
    <w:rPr>
      <w:rFonts w:ascii="Calibri" w:hAnsi="Calibri" w:cs="黑体"/>
      <w:szCs w:val="21"/>
    </w:rPr>
  </w:style>
  <w:style w:type="character" w:customStyle="1" w:styleId="90">
    <w:name w:val="Char Char12"/>
    <w:qFormat/>
    <w:uiPriority w:val="0"/>
    <w:rPr>
      <w:rFonts w:ascii="Arial" w:hAnsi="Arial" w:eastAsia="黑体"/>
      <w:b/>
      <w:bCs/>
      <w:kern w:val="2"/>
      <w:sz w:val="28"/>
      <w:szCs w:val="28"/>
      <w:lang w:val="en-US" w:eastAsia="zh-CN" w:bidi="ar-SA"/>
    </w:rPr>
  </w:style>
  <w:style w:type="character" w:customStyle="1" w:styleId="91">
    <w:name w:val="标题 4 Char Char"/>
    <w:qFormat/>
    <w:uiPriority w:val="0"/>
    <w:rPr>
      <w:rFonts w:ascii="Arial" w:hAnsi="Arial" w:eastAsia="宋体"/>
      <w:b/>
      <w:bCs/>
      <w:kern w:val="2"/>
      <w:sz w:val="21"/>
      <w:szCs w:val="28"/>
      <w:lang w:val="en-US" w:eastAsia="zh-CN" w:bidi="ar-SA"/>
    </w:rPr>
  </w:style>
  <w:style w:type="character" w:customStyle="1" w:styleId="92">
    <w:name w:val="font11"/>
    <w:basedOn w:val="49"/>
    <w:qFormat/>
    <w:uiPriority w:val="0"/>
    <w:rPr>
      <w:rFonts w:hint="eastAsia" w:ascii="宋体" w:hAnsi="宋体" w:eastAsia="宋体" w:cs="宋体"/>
      <w:color w:val="000000"/>
      <w:sz w:val="18"/>
      <w:szCs w:val="18"/>
      <w:u w:val="none"/>
    </w:rPr>
  </w:style>
  <w:style w:type="character" w:customStyle="1" w:styleId="93">
    <w:name w:val="font01"/>
    <w:basedOn w:val="49"/>
    <w:qFormat/>
    <w:uiPriority w:val="0"/>
    <w:rPr>
      <w:rFonts w:hint="eastAsia" w:ascii="宋体" w:hAnsi="宋体" w:eastAsia="宋体" w:cs="宋体"/>
      <w:color w:val="000000"/>
      <w:sz w:val="22"/>
      <w:szCs w:val="22"/>
      <w:u w:val="single"/>
    </w:rPr>
  </w:style>
  <w:style w:type="character" w:customStyle="1" w:styleId="94">
    <w:name w:val="sidecatalog-dot1"/>
    <w:qFormat/>
    <w:uiPriority w:val="0"/>
    <w:rPr>
      <w:rFonts w:ascii="Times New Roman" w:hAnsi="Times New Roman" w:eastAsia="宋体"/>
    </w:rPr>
  </w:style>
  <w:style w:type="character" w:customStyle="1" w:styleId="95">
    <w:name w:val="Font Style124"/>
    <w:unhideWhenUsed/>
    <w:qFormat/>
    <w:uiPriority w:val="0"/>
    <w:rPr>
      <w:rFonts w:hint="eastAsia" w:ascii="宋体" w:hAnsi="宋体" w:eastAsia="宋体"/>
      <w:spacing w:val="30"/>
      <w:sz w:val="24"/>
    </w:rPr>
  </w:style>
  <w:style w:type="character" w:customStyle="1" w:styleId="96">
    <w:name w:val="批注框文本 Char"/>
    <w:basedOn w:val="49"/>
    <w:qFormat/>
    <w:uiPriority w:val="0"/>
    <w:rPr>
      <w:rFonts w:ascii="Times New Roman" w:hAnsi="Times New Roman" w:eastAsia="宋体" w:cs="Times New Roman"/>
      <w:sz w:val="18"/>
      <w:szCs w:val="18"/>
    </w:rPr>
  </w:style>
  <w:style w:type="character" w:customStyle="1" w:styleId="97">
    <w:name w:val="批注框文本 字符"/>
    <w:link w:val="31"/>
    <w:qFormat/>
    <w:locked/>
    <w:uiPriority w:val="0"/>
    <w:rPr>
      <w:rFonts w:ascii="Calibri" w:hAnsi="Calibri" w:eastAsia="宋体" w:cs="黑体"/>
      <w:sz w:val="18"/>
      <w:szCs w:val="18"/>
    </w:rPr>
  </w:style>
  <w:style w:type="character" w:customStyle="1" w:styleId="98">
    <w:name w:val="正文文本缩进 字符"/>
    <w:basedOn w:val="49"/>
    <w:link w:val="3"/>
    <w:qFormat/>
    <w:uiPriority w:val="0"/>
    <w:rPr>
      <w:rFonts w:ascii="Calibri" w:hAnsi="Calibri" w:eastAsia="宋体" w:cs="黑体"/>
      <w:szCs w:val="24"/>
    </w:rPr>
  </w:style>
  <w:style w:type="character" w:customStyle="1" w:styleId="99">
    <w:name w:val="bds_more9"/>
    <w:qFormat/>
    <w:uiPriority w:val="0"/>
    <w:rPr>
      <w:rFonts w:ascii="Times New Roman" w:hAnsi="Times New Roman" w:eastAsia="宋体"/>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标题 字符"/>
    <w:basedOn w:val="49"/>
    <w:link w:val="45"/>
    <w:qFormat/>
    <w:uiPriority w:val="0"/>
    <w:rPr>
      <w:rFonts w:ascii="Cambria" w:hAnsi="Cambria" w:eastAsia="宋体" w:cs="Times New Roman"/>
      <w:b/>
      <w:sz w:val="32"/>
      <w:szCs w:val="24"/>
    </w:rPr>
  </w:style>
  <w:style w:type="character" w:customStyle="1" w:styleId="102">
    <w:name w:val="正文文本缩进 2 字符"/>
    <w:basedOn w:val="49"/>
    <w:link w:val="30"/>
    <w:qFormat/>
    <w:uiPriority w:val="0"/>
    <w:rPr>
      <w:rFonts w:ascii="Times New Roman" w:hAnsi="Times New Roman" w:eastAsia="宋体" w:cs="Times New Roman"/>
      <w:szCs w:val="24"/>
    </w:rPr>
  </w:style>
  <w:style w:type="character" w:customStyle="1" w:styleId="103">
    <w:name w:val="Font Style105"/>
    <w:unhideWhenUsed/>
    <w:qFormat/>
    <w:uiPriority w:val="0"/>
    <w:rPr>
      <w:rFonts w:hint="eastAsia" w:ascii="Times New Roman" w:hAnsi="Times New Roman" w:eastAsia="Times New Roman"/>
      <w:w w:val="60"/>
      <w:sz w:val="26"/>
    </w:rPr>
  </w:style>
  <w:style w:type="character" w:customStyle="1" w:styleId="104">
    <w:name w:val="标题 6 Char"/>
    <w:basedOn w:val="49"/>
    <w:qFormat/>
    <w:uiPriority w:val="0"/>
    <w:rPr>
      <w:rFonts w:ascii="Cambria" w:hAnsi="Cambria" w:eastAsia="宋体" w:cs="Times New Roman"/>
      <w:b/>
      <w:bCs/>
      <w:sz w:val="24"/>
      <w:szCs w:val="24"/>
    </w:rPr>
  </w:style>
  <w:style w:type="character" w:customStyle="1" w:styleId="105">
    <w:name w:val="morelink-item"/>
    <w:qFormat/>
    <w:uiPriority w:val="0"/>
    <w:rPr>
      <w:rFonts w:ascii="Times New Roman" w:hAnsi="Times New Roman" w:eastAsia="宋体"/>
    </w:rPr>
  </w:style>
  <w:style w:type="character" w:customStyle="1" w:styleId="106">
    <w:name w:val="bds_more7"/>
    <w:qFormat/>
    <w:uiPriority w:val="0"/>
    <w:rPr>
      <w:rFonts w:ascii="Times New Roman" w:hAnsi="Times New Roman" w:eastAsia="宋体"/>
    </w:rPr>
  </w:style>
  <w:style w:type="character" w:customStyle="1" w:styleId="107">
    <w:name w:val="纯文本 字符"/>
    <w:basedOn w:val="49"/>
    <w:link w:val="27"/>
    <w:qFormat/>
    <w:uiPriority w:val="0"/>
    <w:rPr>
      <w:rFonts w:ascii="宋体" w:hAnsi="Courier New" w:eastAsia="宋体" w:cs="Courier New"/>
      <w:szCs w:val="21"/>
    </w:rPr>
  </w:style>
  <w:style w:type="character" w:customStyle="1" w:styleId="108">
    <w:name w:val="Char Char16"/>
    <w:qFormat/>
    <w:uiPriority w:val="0"/>
    <w:rPr>
      <w:rFonts w:ascii="宋体" w:hAnsi="Times New Roman" w:eastAsia="宋体"/>
      <w:b/>
      <w:sz w:val="24"/>
      <w:lang w:val="en-US" w:eastAsia="zh-CN" w:bidi="ar-SA"/>
    </w:rPr>
  </w:style>
  <w:style w:type="character" w:customStyle="1" w:styleId="109">
    <w:name w:val="批注主题 Char"/>
    <w:basedOn w:val="110"/>
    <w:qFormat/>
    <w:uiPriority w:val="0"/>
    <w:rPr>
      <w:rFonts w:ascii="Times New Roman" w:hAnsi="Times New Roman" w:eastAsia="宋体" w:cs="Times New Roman"/>
      <w:b/>
      <w:bCs/>
      <w:szCs w:val="24"/>
    </w:rPr>
  </w:style>
  <w:style w:type="character" w:customStyle="1" w:styleId="110">
    <w:name w:val="批注文字 字符"/>
    <w:basedOn w:val="49"/>
    <w:link w:val="5"/>
    <w:qFormat/>
    <w:uiPriority w:val="99"/>
    <w:rPr>
      <w:rFonts w:ascii="Times New Roman" w:hAnsi="Times New Roman" w:eastAsia="宋体" w:cs="Times New Roman"/>
      <w:szCs w:val="24"/>
    </w:rPr>
  </w:style>
  <w:style w:type="character" w:customStyle="1" w:styleId="111">
    <w:name w:val="Font Style126"/>
    <w:unhideWhenUsed/>
    <w:qFormat/>
    <w:uiPriority w:val="0"/>
    <w:rPr>
      <w:rFonts w:hint="eastAsia" w:ascii="宋体" w:hAnsi="宋体" w:eastAsia="宋体"/>
      <w:b/>
      <w:spacing w:val="-30"/>
      <w:sz w:val="28"/>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plus"/>
    <w:qFormat/>
    <w:uiPriority w:val="0"/>
    <w:rPr>
      <w:rFonts w:ascii="Times New Roman" w:hAnsi="Times New Roman" w:eastAsia="宋体"/>
      <w:b/>
      <w:vanish/>
      <w:color w:val="1F8DEF"/>
      <w:sz w:val="24"/>
      <w:szCs w:val="24"/>
    </w:rPr>
  </w:style>
  <w:style w:type="character" w:customStyle="1" w:styleId="114">
    <w:name w:val="HTML 预设格式 字符"/>
    <w:basedOn w:val="49"/>
    <w:link w:val="42"/>
    <w:qFormat/>
    <w:uiPriority w:val="0"/>
    <w:rPr>
      <w:rFonts w:ascii="Arial" w:hAnsi="Arial" w:eastAsia="宋体" w:cs="Arial"/>
      <w:kern w:val="0"/>
      <w:sz w:val="24"/>
      <w:szCs w:val="24"/>
    </w:rPr>
  </w:style>
  <w:style w:type="character" w:customStyle="1" w:styleId="115">
    <w:name w:val="称呼 字符"/>
    <w:basedOn w:val="49"/>
    <w:link w:val="20"/>
    <w:qFormat/>
    <w:uiPriority w:val="0"/>
    <w:rPr>
      <w:rFonts w:ascii="仿宋_GB2312" w:hAnsi="Times New Roman" w:eastAsia="仿宋_GB2312" w:cs="Times New Roman"/>
      <w:sz w:val="24"/>
      <w:szCs w:val="24"/>
    </w:rPr>
  </w:style>
  <w:style w:type="character" w:customStyle="1" w:styleId="116">
    <w:name w:val="批注文字 Char Char"/>
    <w:qFormat/>
    <w:uiPriority w:val="0"/>
    <w:rPr>
      <w:kern w:val="2"/>
      <w:sz w:val="21"/>
      <w:szCs w:val="24"/>
      <w:lang w:bidi="ar-SA"/>
    </w:rPr>
  </w:style>
  <w:style w:type="character" w:customStyle="1" w:styleId="117">
    <w:name w:val="p0 Char Char"/>
    <w:qFormat/>
    <w:uiPriority w:val="0"/>
    <w:rPr>
      <w:rFonts w:eastAsia="宋体"/>
      <w:kern w:val="2"/>
      <w:sz w:val="21"/>
      <w:szCs w:val="21"/>
      <w:lang w:val="en-US" w:eastAsia="zh-CN" w:bidi="ar-SA"/>
    </w:rPr>
  </w:style>
  <w:style w:type="character" w:customStyle="1" w:styleId="118">
    <w:name w:val="正文文本 字符"/>
    <w:basedOn w:val="49"/>
    <w:link w:val="22"/>
    <w:qFormat/>
    <w:uiPriority w:val="99"/>
    <w:rPr>
      <w:rFonts w:ascii="Times New Roman" w:hAnsi="Times New Roman" w:eastAsia="宋体" w:cs="Times New Roman"/>
      <w:szCs w:val="24"/>
    </w:rPr>
  </w:style>
  <w:style w:type="character" w:customStyle="1" w:styleId="119">
    <w:name w:val="批注文字 Char1"/>
    <w:qFormat/>
    <w:uiPriority w:val="0"/>
    <w:rPr>
      <w:rFonts w:eastAsia="宋体"/>
      <w:kern w:val="2"/>
      <w:sz w:val="21"/>
      <w:szCs w:val="24"/>
      <w:lang w:val="en-US" w:eastAsia="zh-CN" w:bidi="ar-SA"/>
    </w:rPr>
  </w:style>
  <w:style w:type="character" w:customStyle="1" w:styleId="120">
    <w:name w:val="Font Style131"/>
    <w:unhideWhenUsed/>
    <w:qFormat/>
    <w:uiPriority w:val="0"/>
    <w:rPr>
      <w:rFonts w:hint="eastAsia" w:ascii="Times New Roman" w:hAnsi="Times New Roman" w:eastAsia="Times New Roman"/>
      <w:sz w:val="18"/>
    </w:rPr>
  </w:style>
  <w:style w:type="character" w:customStyle="1" w:styleId="121">
    <w:name w:val="Font Style127"/>
    <w:unhideWhenUsed/>
    <w:qFormat/>
    <w:uiPriority w:val="0"/>
    <w:rPr>
      <w:rFonts w:hint="eastAsia" w:ascii="Times New Roman" w:hAnsi="Times New Roman" w:eastAsia="Times New Roman"/>
      <w:sz w:val="20"/>
    </w:rPr>
  </w:style>
  <w:style w:type="character" w:customStyle="1" w:styleId="122">
    <w:name w:val="Font Style122"/>
    <w:unhideWhenUsed/>
    <w:qFormat/>
    <w:uiPriority w:val="0"/>
    <w:rPr>
      <w:rFonts w:hint="eastAsia" w:ascii="宋体" w:hAnsi="宋体" w:eastAsia="宋体"/>
      <w:spacing w:val="20"/>
      <w:sz w:val="24"/>
    </w:rPr>
  </w:style>
  <w:style w:type="character" w:customStyle="1" w:styleId="123">
    <w:name w:val="标题 3 Char"/>
    <w:basedOn w:val="49"/>
    <w:qFormat/>
    <w:uiPriority w:val="0"/>
    <w:rPr>
      <w:rFonts w:ascii="Times New Roman" w:hAnsi="Times New Roman" w:eastAsia="宋体" w:cs="Times New Roman"/>
      <w:b/>
      <w:bCs/>
      <w:sz w:val="32"/>
      <w:szCs w:val="32"/>
    </w:rPr>
  </w:style>
  <w:style w:type="character" w:customStyle="1" w:styleId="124">
    <w:name w:val="sidecatalog-dot"/>
    <w:qFormat/>
    <w:uiPriority w:val="0"/>
    <w:rPr>
      <w:rFonts w:ascii="Times New Roman" w:hAnsi="Times New Roman" w:eastAsia="宋体"/>
    </w:rPr>
  </w:style>
  <w:style w:type="character" w:customStyle="1" w:styleId="125">
    <w:name w:val="正文文本缩进 3 字符"/>
    <w:link w:val="38"/>
    <w:qFormat/>
    <w:uiPriority w:val="0"/>
    <w:rPr>
      <w:rFonts w:ascii="Calibri" w:hAnsi="Calibri" w:eastAsia="宋体" w:cs="黑体"/>
      <w:sz w:val="16"/>
      <w:szCs w:val="16"/>
    </w:rPr>
  </w:style>
  <w:style w:type="character" w:customStyle="1" w:styleId="126">
    <w:name w:val="副标题 字符"/>
    <w:basedOn w:val="49"/>
    <w:link w:val="36"/>
    <w:qFormat/>
    <w:uiPriority w:val="99"/>
    <w:rPr>
      <w:sz w:val="18"/>
      <w:szCs w:val="18"/>
    </w:rPr>
  </w:style>
  <w:style w:type="character" w:customStyle="1" w:styleId="127">
    <w:name w:val="页码1"/>
    <w:qFormat/>
    <w:uiPriority w:val="0"/>
    <w:rPr>
      <w:lang w:val="zh-TW" w:eastAsia="zh-TW"/>
    </w:rPr>
  </w:style>
  <w:style w:type="character" w:customStyle="1" w:styleId="128">
    <w:name w:val="文档结构图 字符"/>
    <w:basedOn w:val="49"/>
    <w:link w:val="18"/>
    <w:qFormat/>
    <w:uiPriority w:val="0"/>
    <w:rPr>
      <w:rFonts w:ascii="Times New Roman" w:hAnsi="Times New Roman" w:eastAsia="宋体" w:cs="Times New Roman"/>
      <w:szCs w:val="24"/>
      <w:shd w:val="clear" w:color="auto" w:fill="000080"/>
    </w:rPr>
  </w:style>
  <w:style w:type="character" w:customStyle="1" w:styleId="129">
    <w:name w:val="标题 1 Char"/>
    <w:basedOn w:val="49"/>
    <w:qFormat/>
    <w:uiPriority w:val="0"/>
    <w:rPr>
      <w:rFonts w:ascii="Times New Roman" w:hAnsi="Times New Roman" w:eastAsia="宋体" w:cs="Times New Roman"/>
      <w:b/>
      <w:bCs/>
      <w:kern w:val="44"/>
      <w:sz w:val="44"/>
      <w:szCs w:val="44"/>
    </w:rPr>
  </w:style>
  <w:style w:type="character" w:customStyle="1" w:styleId="130">
    <w:name w:val="bds_nopic"/>
    <w:qFormat/>
    <w:uiPriority w:val="0"/>
    <w:rPr>
      <w:rFonts w:ascii="Times New Roman" w:hAnsi="Times New Roman" w:eastAsia="宋体"/>
    </w:rPr>
  </w:style>
  <w:style w:type="character" w:customStyle="1" w:styleId="131">
    <w:name w:val="Font Style116"/>
    <w:unhideWhenUsed/>
    <w:qFormat/>
    <w:uiPriority w:val="0"/>
    <w:rPr>
      <w:rFonts w:hint="eastAsia" w:ascii="宋体" w:hAnsi="宋体" w:eastAsia="宋体"/>
      <w:spacing w:val="-20"/>
      <w:sz w:val="24"/>
    </w:rPr>
  </w:style>
  <w:style w:type="character" w:customStyle="1" w:styleId="132">
    <w:name w:val="标题 2 Char"/>
    <w:basedOn w:val="49"/>
    <w:qFormat/>
    <w:uiPriority w:val="0"/>
    <w:rPr>
      <w:rFonts w:ascii="Cambria" w:hAnsi="Cambria" w:eastAsia="宋体" w:cs="Times New Roman"/>
      <w:b/>
      <w:bCs/>
      <w:sz w:val="32"/>
      <w:szCs w:val="32"/>
    </w:rPr>
  </w:style>
  <w:style w:type="character" w:customStyle="1" w:styleId="133">
    <w:name w:val="纯文本 Char1"/>
    <w:basedOn w:val="49"/>
    <w:qFormat/>
    <w:uiPriority w:val="0"/>
    <w:rPr>
      <w:rFonts w:ascii="宋体" w:hAnsi="Courier New" w:eastAsia="宋体" w:cs="Courier New"/>
      <w:kern w:val="2"/>
      <w:sz w:val="21"/>
      <w:szCs w:val="21"/>
    </w:rPr>
  </w:style>
  <w:style w:type="character" w:customStyle="1" w:styleId="134">
    <w:name w:val="Font Style117"/>
    <w:unhideWhenUsed/>
    <w:qFormat/>
    <w:uiPriority w:val="0"/>
    <w:rPr>
      <w:rFonts w:hint="eastAsia" w:ascii="宋体" w:hAnsi="宋体" w:eastAsia="宋体"/>
      <w:spacing w:val="20"/>
      <w:sz w:val="24"/>
    </w:rPr>
  </w:style>
  <w:style w:type="character" w:customStyle="1" w:styleId="135">
    <w:name w:val="正文文本缩进 3 Char"/>
    <w:basedOn w:val="49"/>
    <w:qFormat/>
    <w:uiPriority w:val="0"/>
    <w:rPr>
      <w:rFonts w:ascii="Times New Roman" w:hAnsi="Times New Roman" w:eastAsia="宋体" w:cs="Times New Roman"/>
      <w:sz w:val="16"/>
      <w:szCs w:val="16"/>
    </w:rPr>
  </w:style>
  <w:style w:type="character" w:customStyle="1" w:styleId="136">
    <w:name w:val="Font Style90"/>
    <w:unhideWhenUsed/>
    <w:qFormat/>
    <w:uiPriority w:val="0"/>
    <w:rPr>
      <w:rFonts w:hint="eastAsia" w:ascii="宋体" w:hAnsi="宋体" w:eastAsia="宋体"/>
      <w:b/>
      <w:spacing w:val="-20"/>
      <w:sz w:val="40"/>
    </w:rPr>
  </w:style>
  <w:style w:type="character" w:customStyle="1" w:styleId="137">
    <w:name w:val="sidecatalog-index2"/>
    <w:qFormat/>
    <w:uiPriority w:val="0"/>
    <w:rPr>
      <w:rFonts w:ascii="Arail" w:hAnsi="Arail" w:eastAsia="Arail" w:cs="Arail"/>
      <w:color w:val="999999"/>
      <w:sz w:val="21"/>
      <w:szCs w:val="21"/>
    </w:rPr>
  </w:style>
  <w:style w:type="character" w:customStyle="1" w:styleId="138">
    <w:name w:val="标题 Char"/>
    <w:basedOn w:val="49"/>
    <w:qFormat/>
    <w:uiPriority w:val="0"/>
    <w:rPr>
      <w:rFonts w:ascii="Cambria" w:hAnsi="Cambria" w:eastAsia="宋体" w:cs="Times New Roman"/>
      <w:b/>
      <w:bCs/>
      <w:sz w:val="32"/>
      <w:szCs w:val="32"/>
    </w:rPr>
  </w:style>
  <w:style w:type="character" w:customStyle="1" w:styleId="139">
    <w:name w:val="font41"/>
    <w:basedOn w:val="49"/>
    <w:qFormat/>
    <w:uiPriority w:val="0"/>
    <w:rPr>
      <w:rFonts w:hint="eastAsia" w:ascii="宋体" w:hAnsi="宋体" w:eastAsia="宋体" w:cs="宋体"/>
      <w:color w:val="000000"/>
      <w:sz w:val="22"/>
      <w:szCs w:val="22"/>
      <w:u w:val="single"/>
    </w:rPr>
  </w:style>
  <w:style w:type="character" w:customStyle="1" w:styleId="140">
    <w:name w:val="日期 字符"/>
    <w:link w:val="29"/>
    <w:qFormat/>
    <w:uiPriority w:val="0"/>
    <w:rPr>
      <w:rFonts w:ascii="Calibri" w:hAnsi="Calibri" w:eastAsia="宋体" w:cs="黑体"/>
      <w:sz w:val="24"/>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21"/>
    <w:unhideWhenUsed/>
    <w:qFormat/>
    <w:uiPriority w:val="0"/>
    <w:rPr>
      <w:rFonts w:hint="eastAsia" w:ascii="宋体" w:hAnsi="宋体" w:eastAsia="宋体"/>
      <w:spacing w:val="-10"/>
      <w:sz w:val="30"/>
    </w:rPr>
  </w:style>
  <w:style w:type="character" w:customStyle="1" w:styleId="143">
    <w:name w:val="Font Style134"/>
    <w:unhideWhenUsed/>
    <w:qFormat/>
    <w:uiPriority w:val="0"/>
    <w:rPr>
      <w:rFonts w:hint="eastAsia" w:ascii="宋体" w:hAnsi="宋体" w:eastAsia="宋体"/>
      <w:spacing w:val="20"/>
      <w:sz w:val="22"/>
    </w:rPr>
  </w:style>
  <w:style w:type="character" w:customStyle="1" w:styleId="144">
    <w:name w:val="页眉 Char1"/>
    <w:qFormat/>
    <w:uiPriority w:val="0"/>
    <w:rPr>
      <w:rFonts w:eastAsia="宋体"/>
      <w:kern w:val="2"/>
      <w:sz w:val="18"/>
      <w:szCs w:val="18"/>
      <w:lang w:val="en-US" w:eastAsia="zh-CN" w:bidi="ar-SA"/>
    </w:rPr>
  </w:style>
  <w:style w:type="character" w:customStyle="1" w:styleId="145">
    <w:name w:val="sort"/>
    <w:qFormat/>
    <w:uiPriority w:val="0"/>
    <w:rPr>
      <w:rFonts w:ascii="Times New Roman" w:hAnsi="Times New Roman" w:eastAsia="宋体"/>
      <w:color w:val="FFFFFF"/>
      <w:bdr w:val="single" w:color="auto" w:sz="24" w:space="0"/>
    </w:rPr>
  </w:style>
  <w:style w:type="character" w:customStyle="1" w:styleId="146">
    <w:name w:val="Font Style115"/>
    <w:unhideWhenUsed/>
    <w:qFormat/>
    <w:uiPriority w:val="0"/>
    <w:rPr>
      <w:rFonts w:hint="eastAsia" w:ascii="Times New Roman" w:hAnsi="Times New Roman" w:eastAsia="Times New Roman"/>
      <w:sz w:val="16"/>
    </w:rPr>
  </w:style>
  <w:style w:type="character" w:customStyle="1" w:styleId="147">
    <w:name w:val="bds_more6"/>
    <w:qFormat/>
    <w:uiPriority w:val="0"/>
    <w:rPr>
      <w:rFonts w:hint="eastAsia" w:ascii="宋体" w:hAnsi="宋体" w:eastAsia="宋体" w:cs="宋体"/>
    </w:rPr>
  </w:style>
  <w:style w:type="character" w:customStyle="1" w:styleId="148">
    <w:name w:val="标题 8 Char"/>
    <w:basedOn w:val="49"/>
    <w:qFormat/>
    <w:uiPriority w:val="0"/>
    <w:rPr>
      <w:rFonts w:ascii="Cambria" w:hAnsi="Cambria" w:eastAsia="宋体" w:cs="Times New Roman"/>
      <w:sz w:val="24"/>
      <w:szCs w:val="24"/>
    </w:rPr>
  </w:style>
  <w:style w:type="character" w:customStyle="1" w:styleId="149">
    <w:name w:val="正文文本 3 字符"/>
    <w:basedOn w:val="49"/>
    <w:link w:val="21"/>
    <w:qFormat/>
    <w:uiPriority w:val="0"/>
    <w:rPr>
      <w:rFonts w:ascii="宋体" w:hAnsi="Times New Roman" w:eastAsia="宋体" w:cs="Times New Roman"/>
      <w:color w:val="000000"/>
      <w:kern w:val="0"/>
      <w:sz w:val="24"/>
      <w:szCs w:val="20"/>
    </w:rPr>
  </w:style>
  <w:style w:type="character" w:customStyle="1" w:styleId="150">
    <w:name w:val="font71"/>
    <w:basedOn w:val="49"/>
    <w:qFormat/>
    <w:uiPriority w:val="0"/>
    <w:rPr>
      <w:rFonts w:hint="eastAsia" w:ascii="宋体" w:hAnsi="宋体" w:eastAsia="宋体" w:cs="宋体"/>
      <w:b/>
      <w:color w:val="000000"/>
      <w:sz w:val="22"/>
      <w:szCs w:val="22"/>
      <w:u w:val="none"/>
    </w:rPr>
  </w:style>
  <w:style w:type="character" w:customStyle="1" w:styleId="151">
    <w:name w:val="font21"/>
    <w:basedOn w:val="49"/>
    <w:qFormat/>
    <w:uiPriority w:val="0"/>
    <w:rPr>
      <w:rFonts w:hint="eastAsia" w:ascii="宋体" w:hAnsi="宋体" w:eastAsia="宋体" w:cs="宋体"/>
      <w:color w:val="000000"/>
      <w:sz w:val="18"/>
      <w:szCs w:val="18"/>
      <w:u w:val="none"/>
    </w:rPr>
  </w:style>
  <w:style w:type="character" w:customStyle="1" w:styleId="152">
    <w:name w:val="标题 9 Char"/>
    <w:basedOn w:val="49"/>
    <w:qFormat/>
    <w:uiPriority w:val="0"/>
    <w:rPr>
      <w:rFonts w:ascii="Cambria" w:hAnsi="Cambria" w:eastAsia="宋体" w:cs="Times New Roman"/>
      <w:szCs w:val="21"/>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Font Style119"/>
    <w:unhideWhenUsed/>
    <w:qFormat/>
    <w:uiPriority w:val="0"/>
    <w:rPr>
      <w:rFonts w:hint="eastAsia" w:ascii="宋体" w:hAnsi="宋体" w:eastAsia="宋体"/>
      <w:sz w:val="24"/>
    </w:rPr>
  </w:style>
  <w:style w:type="character" w:customStyle="1" w:styleId="155">
    <w:name w:val="标题 5 Char"/>
    <w:basedOn w:val="49"/>
    <w:qFormat/>
    <w:uiPriority w:val="0"/>
    <w:rPr>
      <w:rFonts w:ascii="Times New Roman" w:hAnsi="Times New Roman" w:eastAsia="宋体" w:cs="Times New Roman"/>
      <w:b/>
      <w:bCs/>
      <w:sz w:val="28"/>
      <w:szCs w:val="28"/>
    </w:rPr>
  </w:style>
  <w:style w:type="character" w:customStyle="1" w:styleId="156">
    <w:name w:val="Char Char15"/>
    <w:qFormat/>
    <w:uiPriority w:val="0"/>
    <w:rPr>
      <w:b/>
      <w:bCs/>
      <w:sz w:val="24"/>
      <w:szCs w:val="24"/>
    </w:rPr>
  </w:style>
  <w:style w:type="character" w:customStyle="1" w:styleId="157">
    <w:name w:val="polysemyexp"/>
    <w:qFormat/>
    <w:uiPriority w:val="0"/>
    <w:rPr>
      <w:rFonts w:ascii="Times New Roman" w:hAnsi="Times New Roman" w:eastAsia="宋体"/>
      <w:color w:val="AAAAAA"/>
      <w:sz w:val="18"/>
      <w:szCs w:val="18"/>
    </w:rPr>
  </w:style>
  <w:style w:type="character" w:customStyle="1" w:styleId="158">
    <w:name w:val="bds_nopic1"/>
    <w:qFormat/>
    <w:uiPriority w:val="0"/>
    <w:rPr>
      <w:rFonts w:ascii="Times New Roman" w:hAnsi="Times New Roman" w:eastAsia="宋体"/>
    </w:rPr>
  </w:style>
  <w:style w:type="character" w:customStyle="1" w:styleId="159">
    <w:name w:val="bds_more8"/>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bds_more10"/>
    <w:qFormat/>
    <w:uiPriority w:val="0"/>
    <w:rPr>
      <w:rFonts w:ascii="Times New Roman" w:hAnsi="Times New Roman" w:eastAsia="宋体"/>
    </w:rPr>
  </w:style>
  <w:style w:type="character" w:customStyle="1" w:styleId="162">
    <w:name w:val="sidecatalog-index1"/>
    <w:qFormat/>
    <w:uiPriority w:val="0"/>
    <w:rPr>
      <w:rFonts w:ascii="Arial" w:hAnsi="Arial" w:eastAsia="宋体" w:cs="Arial"/>
      <w:b/>
      <w:color w:val="999999"/>
      <w:sz w:val="21"/>
      <w:szCs w:val="21"/>
    </w:rPr>
  </w:style>
  <w:style w:type="character" w:customStyle="1" w:styleId="163">
    <w:name w:val="标题 7 Char"/>
    <w:basedOn w:val="49"/>
    <w:qFormat/>
    <w:uiPriority w:val="0"/>
    <w:rPr>
      <w:rFonts w:ascii="Times New Roman" w:hAnsi="Times New Roman" w:eastAsia="宋体" w:cs="Times New Roman"/>
      <w:b/>
      <w:bCs/>
      <w:sz w:val="24"/>
      <w:szCs w:val="24"/>
    </w:rPr>
  </w:style>
  <w:style w:type="character" w:customStyle="1" w:styleId="164">
    <w:name w:val="desc"/>
    <w:qFormat/>
    <w:uiPriority w:val="0"/>
    <w:rPr>
      <w:rFonts w:ascii="Times New Roman" w:hAnsi="Times New Roman" w:eastAsia="宋体"/>
      <w:color w:val="000000"/>
      <w:sz w:val="18"/>
      <w:szCs w:val="18"/>
    </w:rPr>
  </w:style>
  <w:style w:type="character" w:customStyle="1" w:styleId="165">
    <w:name w:val="正文文本缩进 2 字符1"/>
    <w:basedOn w:val="49"/>
    <w:semiHidden/>
    <w:qFormat/>
    <w:uiPriority w:val="99"/>
    <w:rPr>
      <w:rFonts w:ascii="Times New Roman" w:hAnsi="Times New Roman" w:eastAsia="宋体" w:cs="Times New Roman"/>
      <w:szCs w:val="24"/>
    </w:rPr>
  </w:style>
  <w:style w:type="character" w:customStyle="1" w:styleId="166">
    <w:name w:val="正文文本缩进 字符1"/>
    <w:basedOn w:val="49"/>
    <w:semiHidden/>
    <w:qFormat/>
    <w:uiPriority w:val="99"/>
    <w:rPr>
      <w:rFonts w:ascii="Times New Roman" w:hAnsi="Times New Roman" w:eastAsia="宋体" w:cs="Times New Roman"/>
      <w:szCs w:val="24"/>
    </w:rPr>
  </w:style>
  <w:style w:type="character" w:customStyle="1" w:styleId="167">
    <w:name w:val="正文文本 3 字符1"/>
    <w:basedOn w:val="49"/>
    <w:semiHidden/>
    <w:qFormat/>
    <w:uiPriority w:val="99"/>
    <w:rPr>
      <w:rFonts w:ascii="Times New Roman" w:hAnsi="Times New Roman" w:eastAsia="宋体" w:cs="Times New Roman"/>
      <w:sz w:val="16"/>
      <w:szCs w:val="16"/>
    </w:rPr>
  </w:style>
  <w:style w:type="character" w:customStyle="1" w:styleId="168">
    <w:name w:val="称呼 字符1"/>
    <w:basedOn w:val="49"/>
    <w:semiHidden/>
    <w:qFormat/>
    <w:uiPriority w:val="99"/>
    <w:rPr>
      <w:rFonts w:ascii="Times New Roman" w:hAnsi="Times New Roman" w:eastAsia="宋体" w:cs="Times New Roman"/>
      <w:szCs w:val="24"/>
    </w:rPr>
  </w:style>
  <w:style w:type="character" w:customStyle="1" w:styleId="169">
    <w:name w:val="批注框文本 字符1"/>
    <w:basedOn w:val="49"/>
    <w:semiHidden/>
    <w:qFormat/>
    <w:uiPriority w:val="99"/>
    <w:rPr>
      <w:rFonts w:ascii="Times New Roman" w:hAnsi="Times New Roman" w:eastAsia="宋体" w:cs="Times New Roman"/>
      <w:sz w:val="18"/>
      <w:szCs w:val="18"/>
    </w:rPr>
  </w:style>
  <w:style w:type="character" w:customStyle="1" w:styleId="170">
    <w:name w:val="正文文本缩进 3 字符1"/>
    <w:basedOn w:val="49"/>
    <w:semiHidden/>
    <w:qFormat/>
    <w:uiPriority w:val="99"/>
    <w:rPr>
      <w:rFonts w:ascii="Times New Roman" w:hAnsi="Times New Roman" w:eastAsia="宋体" w:cs="Times New Roman"/>
      <w:sz w:val="16"/>
      <w:szCs w:val="16"/>
    </w:rPr>
  </w:style>
  <w:style w:type="character" w:customStyle="1" w:styleId="171">
    <w:name w:val="文档结构图 字符1"/>
    <w:basedOn w:val="49"/>
    <w:semiHidden/>
    <w:qFormat/>
    <w:uiPriority w:val="99"/>
    <w:rPr>
      <w:rFonts w:ascii="Microsoft YaHei UI" w:hAnsi="Times New Roman" w:eastAsia="Microsoft YaHei UI" w:cs="Times New Roman"/>
      <w:sz w:val="18"/>
      <w:szCs w:val="18"/>
    </w:rPr>
  </w:style>
  <w:style w:type="character" w:customStyle="1" w:styleId="172">
    <w:name w:val="日期 字符1"/>
    <w:basedOn w:val="49"/>
    <w:semiHidden/>
    <w:qFormat/>
    <w:uiPriority w:val="99"/>
    <w:rPr>
      <w:rFonts w:ascii="Times New Roman" w:hAnsi="Times New Roman" w:eastAsia="宋体" w:cs="Times New Roman"/>
      <w:szCs w:val="24"/>
    </w:rPr>
  </w:style>
  <w:style w:type="character" w:customStyle="1" w:styleId="173">
    <w:name w:val="正文文本 字符1"/>
    <w:basedOn w:val="49"/>
    <w:semiHidden/>
    <w:qFormat/>
    <w:uiPriority w:val="99"/>
    <w:rPr>
      <w:rFonts w:ascii="Times New Roman" w:hAnsi="Times New Roman" w:eastAsia="宋体" w:cs="Times New Roman"/>
      <w:szCs w:val="24"/>
    </w:rPr>
  </w:style>
  <w:style w:type="character" w:customStyle="1" w:styleId="174">
    <w:name w:val="批注文字 字符1"/>
    <w:basedOn w:val="49"/>
    <w:semiHidden/>
    <w:qFormat/>
    <w:uiPriority w:val="99"/>
    <w:rPr>
      <w:rFonts w:ascii="Times New Roman" w:hAnsi="Times New Roman" w:eastAsia="宋体" w:cs="Times New Roman"/>
      <w:szCs w:val="24"/>
    </w:rPr>
  </w:style>
  <w:style w:type="character" w:customStyle="1" w:styleId="175">
    <w:name w:val="HTML 预设格式 字符1"/>
    <w:basedOn w:val="49"/>
    <w:semiHidden/>
    <w:qFormat/>
    <w:uiPriority w:val="99"/>
    <w:rPr>
      <w:rFonts w:ascii="Courier New" w:hAnsi="Courier New" w:eastAsia="宋体" w:cs="Courier New"/>
      <w:sz w:val="20"/>
      <w:szCs w:val="20"/>
    </w:rPr>
  </w:style>
  <w:style w:type="character" w:customStyle="1" w:styleId="176">
    <w:name w:val="正文文本首行缩进 字符"/>
    <w:basedOn w:val="173"/>
    <w:link w:val="46"/>
    <w:qFormat/>
    <w:uiPriority w:val="0"/>
    <w:rPr>
      <w:rFonts w:ascii="Times New Roman" w:hAnsi="Times New Roman" w:eastAsia="宋体" w:cs="Times New Roman"/>
      <w:szCs w:val="24"/>
    </w:rPr>
  </w:style>
  <w:style w:type="character" w:customStyle="1" w:styleId="177">
    <w:name w:val="正文文本 2 字符1"/>
    <w:basedOn w:val="49"/>
    <w:semiHidden/>
    <w:qFormat/>
    <w:uiPriority w:val="99"/>
    <w:rPr>
      <w:rFonts w:ascii="Times New Roman" w:hAnsi="Times New Roman" w:eastAsia="宋体" w:cs="Times New Roman"/>
      <w:szCs w:val="24"/>
    </w:rPr>
  </w:style>
  <w:style w:type="character" w:customStyle="1" w:styleId="178">
    <w:name w:val="副标题 字符1"/>
    <w:basedOn w:val="49"/>
    <w:qFormat/>
    <w:uiPriority w:val="11"/>
    <w:rPr>
      <w:b/>
      <w:bCs/>
      <w:kern w:val="28"/>
      <w:sz w:val="32"/>
      <w:szCs w:val="32"/>
    </w:rPr>
  </w:style>
  <w:style w:type="character" w:customStyle="1" w:styleId="179">
    <w:name w:val="批注主题 字符1"/>
    <w:basedOn w:val="174"/>
    <w:semiHidden/>
    <w:qFormat/>
    <w:uiPriority w:val="99"/>
    <w:rPr>
      <w:rFonts w:ascii="Times New Roman" w:hAnsi="Times New Roman" w:eastAsia="宋体" w:cs="Times New Roman"/>
      <w:b/>
      <w:bCs/>
      <w:szCs w:val="24"/>
    </w:rPr>
  </w:style>
  <w:style w:type="character" w:customStyle="1" w:styleId="180">
    <w:name w:val="标题 字符1"/>
    <w:basedOn w:val="49"/>
    <w:qFormat/>
    <w:uiPriority w:val="10"/>
    <w:rPr>
      <w:rFonts w:asciiTheme="majorHAnsi" w:hAnsiTheme="majorHAnsi" w:eastAsiaTheme="majorEastAsia" w:cstheme="majorBidi"/>
      <w:b/>
      <w:bCs/>
      <w:sz w:val="32"/>
      <w:szCs w:val="32"/>
    </w:rPr>
  </w:style>
  <w:style w:type="character" w:customStyle="1" w:styleId="181">
    <w:name w:val="纯文本 字符1"/>
    <w:basedOn w:val="49"/>
    <w:semiHidden/>
    <w:qFormat/>
    <w:uiPriority w:val="99"/>
    <w:rPr>
      <w:rFonts w:hAnsi="Courier New" w:cs="Courier New" w:asciiTheme="minorEastAsia"/>
      <w:szCs w:val="24"/>
    </w:rPr>
  </w:style>
  <w:style w:type="paragraph" w:customStyle="1" w:styleId="18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3">
    <w:name w:val="Char Char Char"/>
    <w:basedOn w:val="1"/>
    <w:qFormat/>
    <w:uiPriority w:val="0"/>
    <w:rPr>
      <w:rFonts w:ascii="宋体" w:hAnsi="宋体"/>
      <w:b/>
      <w:sz w:val="28"/>
      <w:szCs w:val="28"/>
    </w:rPr>
  </w:style>
  <w:style w:type="paragraph" w:customStyle="1" w:styleId="184">
    <w:name w:val="Style29"/>
    <w:basedOn w:val="1"/>
    <w:unhideWhenUsed/>
    <w:qFormat/>
    <w:uiPriority w:val="0"/>
    <w:pPr>
      <w:spacing w:line="547" w:lineRule="exact"/>
      <w:ind w:firstLine="547"/>
    </w:pPr>
  </w:style>
  <w:style w:type="paragraph" w:customStyle="1" w:styleId="18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6">
    <w:name w:val="Style13"/>
    <w:basedOn w:val="1"/>
    <w:unhideWhenUsed/>
    <w:qFormat/>
    <w:uiPriority w:val="0"/>
  </w:style>
  <w:style w:type="paragraph" w:customStyle="1" w:styleId="18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8">
    <w:name w:val="正文缩进2"/>
    <w:basedOn w:val="1"/>
    <w:qFormat/>
    <w:uiPriority w:val="0"/>
    <w:pPr>
      <w:tabs>
        <w:tab w:val="left" w:pos="720"/>
      </w:tabs>
      <w:ind w:left="624" w:hanging="624"/>
      <w:textAlignment w:val="baseline"/>
    </w:pPr>
    <w:rPr>
      <w:rFonts w:hint="eastAsia" w:ascii="宋体"/>
    </w:rPr>
  </w:style>
  <w:style w:type="paragraph" w:customStyle="1" w:styleId="189">
    <w:name w:val="Style23"/>
    <w:basedOn w:val="1"/>
    <w:unhideWhenUsed/>
    <w:qFormat/>
    <w:uiPriority w:val="0"/>
  </w:style>
  <w:style w:type="paragraph" w:customStyle="1" w:styleId="190">
    <w:name w:val="Style81"/>
    <w:basedOn w:val="1"/>
    <w:unhideWhenUsed/>
    <w:qFormat/>
    <w:uiPriority w:val="0"/>
    <w:pPr>
      <w:spacing w:line="547" w:lineRule="exact"/>
    </w:pPr>
  </w:style>
  <w:style w:type="paragraph" w:customStyle="1" w:styleId="191">
    <w:name w:val="Style73"/>
    <w:basedOn w:val="1"/>
    <w:unhideWhenUsed/>
    <w:qFormat/>
    <w:uiPriority w:val="0"/>
    <w:pPr>
      <w:spacing w:line="538" w:lineRule="exact"/>
      <w:ind w:firstLine="533"/>
    </w:pPr>
  </w:style>
  <w:style w:type="paragraph" w:customStyle="1" w:styleId="192">
    <w:name w:val="Style47"/>
    <w:basedOn w:val="1"/>
    <w:unhideWhenUsed/>
    <w:qFormat/>
    <w:uiPriority w:val="0"/>
  </w:style>
  <w:style w:type="paragraph" w:customStyle="1" w:styleId="19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4">
    <w:name w:val="Style77"/>
    <w:basedOn w:val="1"/>
    <w:unhideWhenUsed/>
    <w:qFormat/>
    <w:uiPriority w:val="0"/>
  </w:style>
  <w:style w:type="paragraph" w:customStyle="1" w:styleId="195">
    <w:name w:val="Style8"/>
    <w:basedOn w:val="1"/>
    <w:unhideWhenUsed/>
    <w:qFormat/>
    <w:uiPriority w:val="0"/>
    <w:pPr>
      <w:spacing w:line="566" w:lineRule="exact"/>
      <w:jc w:val="center"/>
    </w:pPr>
  </w:style>
  <w:style w:type="paragraph" w:customStyle="1" w:styleId="196">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7">
    <w:name w:val="Char1 Char Char Char Char Char Char Char Char Char"/>
    <w:basedOn w:val="1"/>
    <w:qFormat/>
    <w:uiPriority w:val="0"/>
    <w:rPr>
      <w:szCs w:val="20"/>
    </w:rPr>
  </w:style>
  <w:style w:type="paragraph" w:customStyle="1" w:styleId="198">
    <w:name w:val="_Style 1"/>
    <w:basedOn w:val="1"/>
    <w:qFormat/>
    <w:uiPriority w:val="34"/>
    <w:pPr>
      <w:ind w:firstLine="420" w:firstLineChars="200"/>
    </w:pPr>
    <w:rPr>
      <w:rFonts w:ascii="Calibri" w:hAnsi="Calibri" w:cs="黑体"/>
    </w:rPr>
  </w:style>
  <w:style w:type="paragraph" w:customStyle="1" w:styleId="199">
    <w:name w:val="_Style 39"/>
    <w:basedOn w:val="200"/>
    <w:qFormat/>
    <w:uiPriority w:val="0"/>
  </w:style>
  <w:style w:type="paragraph" w:customStyle="1" w:styleId="20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Style24"/>
    <w:basedOn w:val="1"/>
    <w:unhideWhenUsed/>
    <w:qFormat/>
    <w:uiPriority w:val="0"/>
  </w:style>
  <w:style w:type="paragraph" w:customStyle="1" w:styleId="202">
    <w:name w:val="Style34"/>
    <w:basedOn w:val="1"/>
    <w:unhideWhenUsed/>
    <w:qFormat/>
    <w:uiPriority w:val="0"/>
    <w:pPr>
      <w:spacing w:line="375" w:lineRule="exact"/>
    </w:pPr>
  </w:style>
  <w:style w:type="paragraph" w:customStyle="1" w:styleId="20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4">
    <w:name w:val="Style69"/>
    <w:basedOn w:val="1"/>
    <w:unhideWhenUsed/>
    <w:qFormat/>
    <w:uiPriority w:val="0"/>
    <w:pPr>
      <w:spacing w:line="557" w:lineRule="exact"/>
      <w:ind w:firstLine="1666"/>
    </w:pPr>
  </w:style>
  <w:style w:type="paragraph" w:customStyle="1" w:styleId="20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6">
    <w:name w:val="表格内容"/>
    <w:basedOn w:val="22"/>
    <w:qFormat/>
    <w:uiPriority w:val="0"/>
    <w:pPr>
      <w:suppressLineNumbers/>
      <w:suppressAutoHyphens/>
      <w:jc w:val="left"/>
    </w:pPr>
    <w:rPr>
      <w:rFonts w:cs="Tahoma"/>
      <w:kern w:val="0"/>
      <w:sz w:val="24"/>
    </w:rPr>
  </w:style>
  <w:style w:type="paragraph" w:customStyle="1" w:styleId="207">
    <w:name w:val="Style54"/>
    <w:basedOn w:val="1"/>
    <w:unhideWhenUsed/>
    <w:qFormat/>
    <w:uiPriority w:val="0"/>
  </w:style>
  <w:style w:type="paragraph" w:customStyle="1" w:styleId="208">
    <w:name w:val="标题 31"/>
    <w:basedOn w:val="1"/>
    <w:next w:val="209"/>
    <w:qFormat/>
    <w:uiPriority w:val="0"/>
    <w:pPr>
      <w:spacing w:before="60" w:line="300" w:lineRule="auto"/>
      <w:outlineLvl w:val="2"/>
    </w:pPr>
    <w:rPr>
      <w:rFonts w:ascii="宋体" w:hAnsi="宋体"/>
      <w:snapToGrid w:val="0"/>
      <w:kern w:val="0"/>
      <w:sz w:val="24"/>
    </w:rPr>
  </w:style>
  <w:style w:type="paragraph" w:customStyle="1" w:styleId="209">
    <w:name w:val="正文缩进3"/>
    <w:basedOn w:val="1"/>
    <w:qFormat/>
    <w:uiPriority w:val="0"/>
    <w:pPr>
      <w:tabs>
        <w:tab w:val="left" w:pos="720"/>
      </w:tabs>
      <w:ind w:left="624" w:hanging="624"/>
      <w:textAlignment w:val="baseline"/>
    </w:pPr>
    <w:rPr>
      <w:rFonts w:hint="eastAsia" w:ascii="宋体"/>
    </w:rPr>
  </w:style>
  <w:style w:type="paragraph" w:customStyle="1" w:styleId="21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1">
    <w:name w:val="样式 标题 2 + Times New Roman 四号 非加粗 段前: 5 磅 段后: 0 磅 行距: 固定值 20..."/>
    <w:basedOn w:val="7"/>
    <w:qFormat/>
    <w:uiPriority w:val="0"/>
    <w:pPr>
      <w:spacing w:before="100" w:line="400" w:lineRule="exact"/>
    </w:pPr>
    <w:rPr>
      <w:rFonts w:ascii="Times New Roman" w:hAnsi="Times New Roman" w:eastAsia="黑体"/>
      <w:b w:val="0"/>
      <w:bCs w:val="0"/>
      <w:sz w:val="28"/>
      <w:szCs w:val="20"/>
    </w:rPr>
  </w:style>
  <w:style w:type="paragraph" w:customStyle="1" w:styleId="212">
    <w:name w:val="Style21"/>
    <w:basedOn w:val="1"/>
    <w:unhideWhenUsed/>
    <w:qFormat/>
    <w:uiPriority w:val="0"/>
    <w:pPr>
      <w:spacing w:line="566" w:lineRule="exact"/>
      <w:ind w:firstLine="682"/>
    </w:pPr>
  </w:style>
  <w:style w:type="paragraph" w:customStyle="1" w:styleId="21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4">
    <w:name w:val="Style12"/>
    <w:basedOn w:val="1"/>
    <w:unhideWhenUsed/>
    <w:qFormat/>
    <w:uiPriority w:val="0"/>
    <w:pPr>
      <w:spacing w:line="564" w:lineRule="exact"/>
      <w:ind w:hanging="115"/>
    </w:pPr>
  </w:style>
  <w:style w:type="paragraph" w:customStyle="1" w:styleId="215">
    <w:name w:val="Style58"/>
    <w:basedOn w:val="1"/>
    <w:unhideWhenUsed/>
    <w:qFormat/>
    <w:uiPriority w:val="0"/>
    <w:pPr>
      <w:spacing w:line="413" w:lineRule="exact"/>
    </w:pPr>
  </w:style>
  <w:style w:type="paragraph" w:customStyle="1" w:styleId="2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p16"/>
    <w:basedOn w:val="1"/>
    <w:qFormat/>
    <w:uiPriority w:val="0"/>
    <w:pPr>
      <w:widowControl/>
      <w:jc w:val="left"/>
    </w:pPr>
    <w:rPr>
      <w:kern w:val="0"/>
      <w:szCs w:val="21"/>
    </w:rPr>
  </w:style>
  <w:style w:type="paragraph" w:customStyle="1" w:styleId="219">
    <w:name w:val="Char Char1 Char Char Char"/>
    <w:basedOn w:val="1"/>
    <w:qFormat/>
    <w:uiPriority w:val="0"/>
    <w:rPr>
      <w:kern w:val="0"/>
      <w:sz w:val="20"/>
      <w:szCs w:val="20"/>
    </w:rPr>
  </w:style>
  <w:style w:type="paragraph" w:customStyle="1" w:styleId="220">
    <w:name w:val="Style42"/>
    <w:basedOn w:val="1"/>
    <w:unhideWhenUsed/>
    <w:qFormat/>
    <w:uiPriority w:val="0"/>
    <w:pPr>
      <w:spacing w:line="542" w:lineRule="exact"/>
      <w:ind w:firstLine="547"/>
    </w:pPr>
  </w:style>
  <w:style w:type="paragraph" w:customStyle="1" w:styleId="221">
    <w:name w:val="Style11"/>
    <w:basedOn w:val="1"/>
    <w:unhideWhenUsed/>
    <w:qFormat/>
    <w:uiPriority w:val="0"/>
    <w:pPr>
      <w:spacing w:line="559" w:lineRule="exact"/>
      <w:ind w:firstLine="590"/>
    </w:pPr>
  </w:style>
  <w:style w:type="paragraph" w:customStyle="1" w:styleId="222">
    <w:name w:val="Style27"/>
    <w:basedOn w:val="1"/>
    <w:unhideWhenUsed/>
    <w:qFormat/>
    <w:uiPriority w:val="0"/>
  </w:style>
  <w:style w:type="paragraph" w:customStyle="1" w:styleId="223">
    <w:name w:val="1"/>
    <w:basedOn w:val="1"/>
    <w:qFormat/>
    <w:uiPriority w:val="0"/>
    <w:pPr>
      <w:spacing w:afterLines="50" w:line="360" w:lineRule="auto"/>
    </w:pPr>
    <w:rPr>
      <w:rFonts w:ascii="宋体" w:hAnsi="宋体"/>
      <w:b/>
      <w:sz w:val="30"/>
      <w:szCs w:val="21"/>
    </w:rPr>
  </w:style>
  <w:style w:type="paragraph" w:customStyle="1" w:styleId="224">
    <w:name w:val="标题 311"/>
    <w:basedOn w:val="1"/>
    <w:next w:val="225"/>
    <w:qFormat/>
    <w:uiPriority w:val="0"/>
    <w:pPr>
      <w:spacing w:line="300" w:lineRule="auto"/>
      <w:outlineLvl w:val="2"/>
    </w:pPr>
    <w:rPr>
      <w:rFonts w:hint="eastAsia" w:ascii="宋体" w:hAnsi="宋体"/>
      <w:snapToGrid w:val="0"/>
      <w:kern w:val="0"/>
      <w:sz w:val="24"/>
      <w:szCs w:val="22"/>
    </w:rPr>
  </w:style>
  <w:style w:type="paragraph" w:customStyle="1" w:styleId="22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7">
    <w:name w:val="Style68"/>
    <w:basedOn w:val="1"/>
    <w:unhideWhenUsed/>
    <w:qFormat/>
    <w:uiPriority w:val="0"/>
    <w:pPr>
      <w:spacing w:line="547" w:lineRule="exact"/>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6"/>
    <w:basedOn w:val="1"/>
    <w:unhideWhenUsed/>
    <w:qFormat/>
    <w:uiPriority w:val="0"/>
    <w:pPr>
      <w:spacing w:line="672" w:lineRule="exact"/>
    </w:pPr>
  </w:style>
  <w:style w:type="paragraph" w:customStyle="1" w:styleId="230">
    <w:name w:val="Style67"/>
    <w:basedOn w:val="1"/>
    <w:unhideWhenUsed/>
    <w:qFormat/>
    <w:uiPriority w:val="0"/>
    <w:pPr>
      <w:spacing w:line="566" w:lineRule="exact"/>
      <w:ind w:firstLine="552"/>
    </w:pPr>
  </w:style>
  <w:style w:type="paragraph" w:customStyle="1" w:styleId="231">
    <w:name w:val="Char1 Char Char Char 字元 Char Char 字元 Char 字元 Char1 Char Char Char"/>
    <w:basedOn w:val="1"/>
    <w:qFormat/>
    <w:uiPriority w:val="0"/>
    <w:rPr>
      <w:szCs w:val="20"/>
    </w:rPr>
  </w:style>
  <w:style w:type="paragraph" w:customStyle="1" w:styleId="232">
    <w:name w:val="Style50"/>
    <w:basedOn w:val="1"/>
    <w:unhideWhenUsed/>
    <w:qFormat/>
    <w:uiPriority w:val="0"/>
  </w:style>
  <w:style w:type="paragraph" w:customStyle="1" w:styleId="233">
    <w:name w:val="Style41"/>
    <w:basedOn w:val="1"/>
    <w:unhideWhenUsed/>
    <w:qFormat/>
    <w:uiPriority w:val="0"/>
    <w:pPr>
      <w:spacing w:line="542" w:lineRule="exact"/>
      <w:ind w:firstLine="125"/>
    </w:pPr>
  </w:style>
  <w:style w:type="paragraph" w:customStyle="1" w:styleId="234">
    <w:name w:val="Style62"/>
    <w:basedOn w:val="1"/>
    <w:unhideWhenUsed/>
    <w:qFormat/>
    <w:uiPriority w:val="0"/>
  </w:style>
  <w:style w:type="paragraph" w:customStyle="1" w:styleId="23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Style5"/>
    <w:basedOn w:val="1"/>
    <w:unhideWhenUsed/>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Style15"/>
    <w:basedOn w:val="1"/>
    <w:unhideWhenUsed/>
    <w:qFormat/>
    <w:uiPriority w:val="0"/>
    <w:pPr>
      <w:spacing w:line="557" w:lineRule="exact"/>
      <w:ind w:firstLine="672"/>
    </w:pPr>
  </w:style>
  <w:style w:type="paragraph" w:customStyle="1" w:styleId="23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0">
    <w:name w:val="列出段落1"/>
    <w:basedOn w:val="1"/>
    <w:qFormat/>
    <w:uiPriority w:val="99"/>
    <w:pPr>
      <w:ind w:firstLine="420" w:firstLineChars="200"/>
    </w:pPr>
    <w:rPr>
      <w:rFonts w:ascii="Calibri" w:hAnsi="Calibri" w:cs="Calibri"/>
      <w:szCs w:val="21"/>
    </w:rPr>
  </w:style>
  <w:style w:type="paragraph" w:customStyle="1" w:styleId="2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2">
    <w:name w:val="Style44"/>
    <w:basedOn w:val="1"/>
    <w:unhideWhenUsed/>
    <w:qFormat/>
    <w:uiPriority w:val="0"/>
  </w:style>
  <w:style w:type="paragraph" w:customStyle="1" w:styleId="243">
    <w:name w:val="Char Char1 Char Char Char Char Char1 Char Char Char Char"/>
    <w:basedOn w:val="18"/>
    <w:qFormat/>
    <w:uiPriority w:val="0"/>
    <w:rPr>
      <w:rFonts w:ascii="Tahoma" w:hAnsi="Tahoma"/>
    </w:rPr>
  </w:style>
  <w:style w:type="paragraph" w:customStyle="1" w:styleId="24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5">
    <w:name w:val="标题2"/>
    <w:basedOn w:val="45"/>
    <w:qFormat/>
    <w:uiPriority w:val="0"/>
    <w:pPr>
      <w:spacing w:after="240"/>
      <w:jc w:val="left"/>
    </w:pPr>
    <w:rPr>
      <w:sz w:val="30"/>
    </w:rPr>
  </w:style>
  <w:style w:type="paragraph" w:customStyle="1" w:styleId="246">
    <w:name w:val="Style52"/>
    <w:basedOn w:val="1"/>
    <w:unhideWhenUsed/>
    <w:qFormat/>
    <w:uiPriority w:val="0"/>
    <w:pPr>
      <w:spacing w:line="682" w:lineRule="exact"/>
      <w:ind w:firstLine="557"/>
    </w:pPr>
  </w:style>
  <w:style w:type="paragraph" w:customStyle="1" w:styleId="24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8">
    <w:name w:val="Style53"/>
    <w:basedOn w:val="1"/>
    <w:unhideWhenUsed/>
    <w:qFormat/>
    <w:uiPriority w:val="0"/>
    <w:pPr>
      <w:spacing w:line="533" w:lineRule="exact"/>
      <w:ind w:firstLine="581"/>
    </w:pPr>
  </w:style>
  <w:style w:type="paragraph" w:customStyle="1" w:styleId="249">
    <w:name w:val="Style56"/>
    <w:basedOn w:val="1"/>
    <w:unhideWhenUsed/>
    <w:qFormat/>
    <w:uiPriority w:val="0"/>
  </w:style>
  <w:style w:type="paragraph" w:customStyle="1" w:styleId="250">
    <w:name w:val="Style9"/>
    <w:basedOn w:val="1"/>
    <w:unhideWhenUsed/>
    <w:qFormat/>
    <w:uiPriority w:val="0"/>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1 Char Char Char Char"/>
    <w:basedOn w:val="1"/>
    <w:qFormat/>
    <w:uiPriority w:val="0"/>
  </w:style>
  <w:style w:type="paragraph" w:customStyle="1" w:styleId="253">
    <w:name w:val="标题 1 +"/>
    <w:basedOn w:val="6"/>
    <w:next w:val="1"/>
    <w:qFormat/>
    <w:uiPriority w:val="0"/>
    <w:pPr>
      <w:keepLines/>
      <w:spacing w:line="600" w:lineRule="auto"/>
    </w:pPr>
    <w:rPr>
      <w:rFonts w:eastAsia="黑体"/>
      <w:sz w:val="32"/>
      <w:szCs w:val="32"/>
    </w:rPr>
  </w:style>
  <w:style w:type="paragraph" w:customStyle="1" w:styleId="254">
    <w:name w:val="Style59"/>
    <w:basedOn w:val="1"/>
    <w:unhideWhenUsed/>
    <w:qFormat/>
    <w:uiPriority w:val="0"/>
  </w:style>
  <w:style w:type="paragraph" w:customStyle="1" w:styleId="255">
    <w:name w:val="标题 41"/>
    <w:basedOn w:val="1"/>
    <w:next w:val="225"/>
    <w:qFormat/>
    <w:uiPriority w:val="0"/>
    <w:pPr>
      <w:tabs>
        <w:tab w:val="left" w:pos="1021"/>
        <w:tab w:val="left" w:pos="1175"/>
      </w:tabs>
      <w:ind w:left="2" w:firstLine="2"/>
      <w:outlineLvl w:val="3"/>
    </w:pPr>
    <w:rPr>
      <w:snapToGrid w:val="0"/>
      <w:color w:val="000000"/>
      <w:kern w:val="0"/>
      <w:sz w:val="24"/>
      <w:szCs w:val="22"/>
    </w:rPr>
  </w:style>
  <w:style w:type="paragraph" w:customStyle="1" w:styleId="256">
    <w:name w:val="Style16"/>
    <w:basedOn w:val="1"/>
    <w:unhideWhenUsed/>
    <w:qFormat/>
    <w:uiPriority w:val="0"/>
    <w:pPr>
      <w:jc w:val="right"/>
    </w:pPr>
  </w:style>
  <w:style w:type="paragraph" w:customStyle="1" w:styleId="257">
    <w:name w:val="Style4"/>
    <w:basedOn w:val="1"/>
    <w:unhideWhenUsed/>
    <w:qFormat/>
    <w:uiPriority w:val="0"/>
  </w:style>
  <w:style w:type="paragraph" w:customStyle="1" w:styleId="258">
    <w:name w:val="Style63"/>
    <w:basedOn w:val="1"/>
    <w:unhideWhenUsed/>
    <w:qFormat/>
    <w:uiPriority w:val="0"/>
    <w:pPr>
      <w:spacing w:line="564" w:lineRule="exact"/>
      <w:ind w:firstLine="682"/>
    </w:pPr>
  </w:style>
  <w:style w:type="paragraph" w:customStyle="1" w:styleId="259">
    <w:name w:val="标题3"/>
    <w:basedOn w:val="6"/>
    <w:qFormat/>
    <w:uiPriority w:val="0"/>
    <w:pPr>
      <w:spacing w:beforeLines="50" w:afterLines="50" w:line="400" w:lineRule="exact"/>
      <w:jc w:val="both"/>
    </w:pPr>
    <w:rPr>
      <w:rFonts w:ascii="宋体" w:hAnsi="宋体"/>
      <w:kern w:val="32"/>
      <w:szCs w:val="32"/>
    </w:rPr>
  </w:style>
  <w:style w:type="paragraph" w:customStyle="1" w:styleId="260">
    <w:name w:val="Style26"/>
    <w:basedOn w:val="1"/>
    <w:unhideWhenUsed/>
    <w:qFormat/>
    <w:uiPriority w:val="0"/>
  </w:style>
  <w:style w:type="paragraph" w:customStyle="1" w:styleId="261">
    <w:name w:val="Style64"/>
    <w:basedOn w:val="1"/>
    <w:unhideWhenUsed/>
    <w:qFormat/>
    <w:uiPriority w:val="0"/>
  </w:style>
  <w:style w:type="paragraph" w:customStyle="1" w:styleId="262">
    <w:name w:val="Style48"/>
    <w:basedOn w:val="1"/>
    <w:unhideWhenUsed/>
    <w:qFormat/>
    <w:uiPriority w:val="0"/>
    <w:pPr>
      <w:spacing w:line="542" w:lineRule="exact"/>
      <w:jc w:val="right"/>
    </w:pPr>
  </w:style>
  <w:style w:type="paragraph" w:customStyle="1" w:styleId="263">
    <w:name w:val="Style70"/>
    <w:basedOn w:val="1"/>
    <w:unhideWhenUsed/>
    <w:qFormat/>
    <w:uiPriority w:val="0"/>
    <w:pPr>
      <w:spacing w:line="549" w:lineRule="exact"/>
      <w:ind w:firstLine="686"/>
    </w:pPr>
  </w:style>
  <w:style w:type="paragraph" w:customStyle="1" w:styleId="264">
    <w:name w:val="Style78"/>
    <w:basedOn w:val="1"/>
    <w:unhideWhenUsed/>
    <w:qFormat/>
    <w:uiPriority w:val="0"/>
  </w:style>
  <w:style w:type="paragraph" w:customStyle="1" w:styleId="265">
    <w:name w:val="Style60"/>
    <w:basedOn w:val="1"/>
    <w:unhideWhenUsed/>
    <w:qFormat/>
    <w:uiPriority w:val="0"/>
    <w:pPr>
      <w:spacing w:line="566" w:lineRule="exact"/>
    </w:pPr>
  </w:style>
  <w:style w:type="paragraph" w:customStyle="1" w:styleId="266">
    <w:name w:val="NO3"/>
    <w:basedOn w:val="1"/>
    <w:qFormat/>
    <w:uiPriority w:val="0"/>
    <w:pPr>
      <w:tabs>
        <w:tab w:val="left" w:pos="907"/>
      </w:tabs>
      <w:spacing w:line="360" w:lineRule="auto"/>
    </w:pPr>
    <w:rPr>
      <w:rFonts w:ascii="宋体" w:hAnsi="宋体"/>
      <w:sz w:val="24"/>
    </w:rPr>
  </w:style>
  <w:style w:type="paragraph" w:customStyle="1" w:styleId="267">
    <w:name w:val="Char"/>
    <w:basedOn w:val="1"/>
    <w:qFormat/>
    <w:uiPriority w:val="0"/>
    <w:pPr>
      <w:tabs>
        <w:tab w:val="left" w:pos="360"/>
      </w:tabs>
      <w:ind w:left="360" w:hanging="360" w:hangingChars="200"/>
    </w:pPr>
    <w:rPr>
      <w:sz w:val="24"/>
    </w:rPr>
  </w:style>
  <w:style w:type="paragraph" w:customStyle="1" w:styleId="268">
    <w:name w:val="附录标识"/>
    <w:basedOn w:val="210"/>
    <w:qFormat/>
    <w:uiPriority w:val="0"/>
    <w:pPr>
      <w:tabs>
        <w:tab w:val="left" w:pos="6405"/>
        <w:tab w:val="clear" w:pos="360"/>
        <w:tab w:val="clear" w:pos="720"/>
      </w:tabs>
      <w:spacing w:after="200"/>
    </w:pPr>
    <w:rPr>
      <w:sz w:val="21"/>
    </w:rPr>
  </w:style>
  <w:style w:type="paragraph" w:customStyle="1" w:styleId="269">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0">
    <w:name w:val="Style74"/>
    <w:basedOn w:val="1"/>
    <w:unhideWhenUsed/>
    <w:qFormat/>
    <w:uiPriority w:val="0"/>
    <w:pPr>
      <w:spacing w:line="437" w:lineRule="exact"/>
    </w:pPr>
  </w:style>
  <w:style w:type="paragraph" w:customStyle="1" w:styleId="271">
    <w:name w:val="Style36"/>
    <w:basedOn w:val="1"/>
    <w:unhideWhenUsed/>
    <w:qFormat/>
    <w:uiPriority w:val="0"/>
  </w:style>
  <w:style w:type="paragraph" w:customStyle="1" w:styleId="272">
    <w:name w:val="Style61"/>
    <w:basedOn w:val="1"/>
    <w:unhideWhenUsed/>
    <w:qFormat/>
    <w:uiPriority w:val="0"/>
  </w:style>
  <w:style w:type="paragraph" w:customStyle="1" w:styleId="273">
    <w:name w:val="标题 21"/>
    <w:basedOn w:val="1"/>
    <w:next w:val="225"/>
    <w:qFormat/>
    <w:uiPriority w:val="0"/>
    <w:pPr>
      <w:spacing w:line="300" w:lineRule="auto"/>
      <w:outlineLvl w:val="1"/>
    </w:pPr>
    <w:rPr>
      <w:rFonts w:hint="eastAsia" w:ascii="宋体" w:hAnsi="宋体"/>
      <w:b/>
      <w:snapToGrid w:val="0"/>
      <w:kern w:val="0"/>
      <w:sz w:val="28"/>
      <w:szCs w:val="22"/>
    </w:rPr>
  </w:style>
  <w:style w:type="paragraph" w:customStyle="1" w:styleId="274">
    <w:name w:val="Style76"/>
    <w:basedOn w:val="1"/>
    <w:unhideWhenUsed/>
    <w:qFormat/>
    <w:uiPriority w:val="0"/>
  </w:style>
  <w:style w:type="paragraph" w:customStyle="1" w:styleId="275">
    <w:name w:val="列表段落1"/>
    <w:basedOn w:val="1"/>
    <w:qFormat/>
    <w:uiPriority w:val="0"/>
    <w:pPr>
      <w:ind w:firstLine="420" w:firstLineChars="200"/>
    </w:pPr>
  </w:style>
  <w:style w:type="paragraph" w:customStyle="1" w:styleId="276">
    <w:name w:val="修订1"/>
    <w:qFormat/>
    <w:uiPriority w:val="0"/>
    <w:rPr>
      <w:rFonts w:ascii="Times New Roman" w:hAnsi="Times New Roman" w:eastAsia="宋体" w:cs="Times New Roman"/>
      <w:kern w:val="2"/>
      <w:sz w:val="21"/>
      <w:szCs w:val="24"/>
      <w:lang w:val="en-US" w:eastAsia="zh-CN" w:bidi="ar-SA"/>
    </w:rPr>
  </w:style>
  <w:style w:type="paragraph" w:customStyle="1" w:styleId="2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8">
    <w:name w:val="_Style 7"/>
    <w:basedOn w:val="1"/>
    <w:qFormat/>
    <w:uiPriority w:val="0"/>
    <w:pPr>
      <w:ind w:firstLine="420" w:firstLineChars="200"/>
    </w:pPr>
    <w:rPr>
      <w:rFonts w:ascii="Calibri" w:hAnsi="Calibri" w:cs="黑体"/>
    </w:rPr>
  </w:style>
  <w:style w:type="paragraph" w:customStyle="1" w:styleId="279">
    <w:name w:val="Char Char1 Char Char Char Char Char Char Char"/>
    <w:basedOn w:val="1"/>
    <w:qFormat/>
    <w:uiPriority w:val="0"/>
    <w:pPr>
      <w:widowControl/>
      <w:spacing w:after="160" w:line="240" w:lineRule="exact"/>
      <w:jc w:val="left"/>
    </w:pPr>
  </w:style>
  <w:style w:type="paragraph" w:customStyle="1" w:styleId="28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2">
    <w:name w:val="Style10"/>
    <w:basedOn w:val="1"/>
    <w:unhideWhenUsed/>
    <w:qFormat/>
    <w:uiPriority w:val="0"/>
    <w:pPr>
      <w:spacing w:line="538" w:lineRule="exact"/>
    </w:pPr>
  </w:style>
  <w:style w:type="paragraph" w:customStyle="1" w:styleId="28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4">
    <w:name w:val="Style72"/>
    <w:basedOn w:val="1"/>
    <w:unhideWhenUsed/>
    <w:qFormat/>
    <w:uiPriority w:val="0"/>
  </w:style>
  <w:style w:type="paragraph" w:customStyle="1" w:styleId="285">
    <w:name w:val="Style45"/>
    <w:basedOn w:val="1"/>
    <w:unhideWhenUsed/>
    <w:qFormat/>
    <w:uiPriority w:val="0"/>
  </w:style>
  <w:style w:type="paragraph" w:customStyle="1" w:styleId="2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Style80"/>
    <w:basedOn w:val="1"/>
    <w:unhideWhenUsed/>
    <w:qFormat/>
    <w:uiPriority w:val="0"/>
  </w:style>
  <w:style w:type="paragraph" w:customStyle="1" w:styleId="288">
    <w:name w:val="Style71"/>
    <w:basedOn w:val="1"/>
    <w:unhideWhenUsed/>
    <w:qFormat/>
    <w:uiPriority w:val="0"/>
    <w:pPr>
      <w:spacing w:line="538" w:lineRule="exact"/>
      <w:ind w:firstLine="101"/>
    </w:pPr>
  </w:style>
  <w:style w:type="paragraph" w:customStyle="1" w:styleId="289">
    <w:name w:val="Style65"/>
    <w:basedOn w:val="1"/>
    <w:unhideWhenUsed/>
    <w:qFormat/>
    <w:uiPriority w:val="0"/>
  </w:style>
  <w:style w:type="paragraph" w:customStyle="1" w:styleId="290">
    <w:name w:val="Style28"/>
    <w:basedOn w:val="1"/>
    <w:unhideWhenUsed/>
    <w:qFormat/>
    <w:uiPriority w:val="0"/>
    <w:pPr>
      <w:spacing w:line="552" w:lineRule="exact"/>
      <w:ind w:firstLine="547"/>
    </w:pPr>
  </w:style>
  <w:style w:type="paragraph" w:customStyle="1" w:styleId="291">
    <w:name w:val="样式 标题 2 + 宋体 五号 行距: 单倍行距"/>
    <w:basedOn w:val="7"/>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2">
    <w:name w:val="标题 32"/>
    <w:basedOn w:val="1"/>
    <w:next w:val="188"/>
    <w:qFormat/>
    <w:uiPriority w:val="0"/>
    <w:pPr>
      <w:spacing w:before="60" w:line="300" w:lineRule="auto"/>
      <w:outlineLvl w:val="2"/>
    </w:pPr>
    <w:rPr>
      <w:rFonts w:hint="eastAsia" w:ascii="宋体" w:hAnsi="宋体" w:cs="黑体"/>
      <w:snapToGrid w:val="0"/>
      <w:kern w:val="0"/>
      <w:sz w:val="24"/>
      <w:szCs w:val="20"/>
    </w:rPr>
  </w:style>
  <w:style w:type="paragraph" w:customStyle="1" w:styleId="29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4">
    <w:name w:val="正文缩进 字符"/>
    <w:link w:val="17"/>
    <w:qFormat/>
    <w:uiPriority w:val="0"/>
    <w:rPr>
      <w:rFonts w:ascii="Times New Roman" w:hAnsi="Times New Roman" w:eastAsia="宋体" w:cs="Times New Roman"/>
      <w:kern w:val="0"/>
      <w:sz w:val="20"/>
      <w:szCs w:val="20"/>
    </w:rPr>
  </w:style>
  <w:style w:type="character" w:customStyle="1" w:styleId="295">
    <w:name w:val="公文正文 Char Char"/>
    <w:link w:val="296"/>
    <w:qFormat/>
    <w:uiPriority w:val="0"/>
    <w:rPr>
      <w:rFonts w:ascii="仿宋_GB2312" w:hAnsi="Calisto MT" w:eastAsia="仿宋_GB2312"/>
      <w:color w:val="000000"/>
      <w:sz w:val="32"/>
    </w:rPr>
  </w:style>
  <w:style w:type="paragraph" w:customStyle="1" w:styleId="296">
    <w:name w:val="公文正文"/>
    <w:link w:val="295"/>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7">
    <w:name w:val="普通文字 Char Char"/>
    <w:qFormat/>
    <w:uiPriority w:val="0"/>
    <w:rPr>
      <w:rFonts w:ascii="宋体" w:hAnsi="Courier New" w:eastAsia="宋体"/>
      <w:kern w:val="2"/>
      <w:sz w:val="21"/>
      <w:lang w:val="en-US" w:eastAsia="zh-CN" w:bidi="ar-SA"/>
    </w:rPr>
  </w:style>
  <w:style w:type="character" w:customStyle="1" w:styleId="298">
    <w:name w:val="副标题 Char1"/>
    <w:qFormat/>
    <w:uiPriority w:val="0"/>
    <w:rPr>
      <w:rFonts w:ascii="Cambria" w:hAnsi="Cambria" w:cs="Times New Roman"/>
      <w:b/>
      <w:bCs/>
      <w:kern w:val="28"/>
      <w:sz w:val="32"/>
      <w:szCs w:val="32"/>
    </w:rPr>
  </w:style>
  <w:style w:type="character" w:customStyle="1" w:styleId="299">
    <w:name w:val="无间隔 字符"/>
    <w:link w:val="300"/>
    <w:qFormat/>
    <w:uiPriority w:val="1"/>
    <w:rPr>
      <w:rFonts w:ascii="Calibri" w:hAnsi="Calibri"/>
      <w:sz w:val="22"/>
      <w:szCs w:val="22"/>
    </w:rPr>
  </w:style>
  <w:style w:type="paragraph" w:styleId="300">
    <w:name w:val="No Spacing"/>
    <w:link w:val="299"/>
    <w:qFormat/>
    <w:uiPriority w:val="1"/>
    <w:rPr>
      <w:rFonts w:ascii="Calibri" w:hAnsi="Calibri" w:eastAsiaTheme="minorEastAsia" w:cstheme="minorBidi"/>
      <w:sz w:val="22"/>
      <w:szCs w:val="22"/>
      <w:lang w:val="en-US" w:eastAsia="zh-CN" w:bidi="ar-SA"/>
    </w:rPr>
  </w:style>
  <w:style w:type="character" w:customStyle="1" w:styleId="301">
    <w:name w:val="样式 样式 样式 标题 2标题 1.1第一层条第二层论文标题 1Para2Title1H2h22l2list + ch...1 ... Char Char"/>
    <w:link w:val="302"/>
    <w:qFormat/>
    <w:uiPriority w:val="0"/>
    <w:rPr>
      <w:rFonts w:ascii="Arial" w:hAnsi="Arial" w:cs="宋体"/>
      <w:b/>
      <w:color w:val="000000"/>
      <w:sz w:val="28"/>
      <w:szCs w:val="28"/>
    </w:rPr>
  </w:style>
  <w:style w:type="paragraph" w:customStyle="1" w:styleId="302">
    <w:name w:val="样式 样式 样式 标题 2标题 1.1第一层条第二层论文标题 1Para2Title1H2h22l2list + ch...1 ..."/>
    <w:basedOn w:val="303"/>
    <w:link w:val="301"/>
    <w:qFormat/>
    <w:uiPriority w:val="0"/>
    <w:pPr>
      <w:tabs>
        <w:tab w:val="left" w:pos="567"/>
        <w:tab w:val="left" w:pos="840"/>
        <w:tab w:val="left" w:pos="965"/>
      </w:tabs>
      <w:spacing w:beforeLines="0" w:afterLines="0"/>
      <w:ind w:left="965" w:right="105" w:hanging="425"/>
    </w:pPr>
    <w:rPr>
      <w:sz w:val="28"/>
      <w:szCs w:val="28"/>
    </w:rPr>
  </w:style>
  <w:style w:type="paragraph" w:customStyle="1" w:styleId="303">
    <w:name w:val="样式 样式 标题 2标题 1.1第一层条第二层论文标题 1Para2Title1H2h22l2list + ch...1 + 右...1"/>
    <w:basedOn w:val="304"/>
    <w:link w:val="316"/>
    <w:qFormat/>
    <w:uiPriority w:val="0"/>
    <w:pPr>
      <w:tabs>
        <w:tab w:val="left" w:pos="567"/>
        <w:tab w:val="left" w:pos="840"/>
      </w:tabs>
      <w:spacing w:beforeLines="50" w:afterLines="50"/>
      <w:ind w:left="576"/>
    </w:pPr>
  </w:style>
  <w:style w:type="paragraph" w:customStyle="1" w:styleId="304">
    <w:name w:val="样式 标题 2标题 1.1第一层条第二层论文标题 1Para2Title1H2h22l2list + ch...1"/>
    <w:basedOn w:val="7"/>
    <w:link w:val="317"/>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5">
    <w:name w:val="列表框1 Char Char"/>
    <w:link w:val="306"/>
    <w:qFormat/>
    <w:uiPriority w:val="0"/>
    <w:rPr>
      <w:rFonts w:ascii="Arial" w:hAnsi="Arial" w:eastAsia="楷体_GB2312" w:cs="Arial"/>
      <w:spacing w:val="10"/>
      <w:szCs w:val="24"/>
    </w:rPr>
  </w:style>
  <w:style w:type="paragraph" w:customStyle="1" w:styleId="306">
    <w:name w:val="列表框1"/>
    <w:basedOn w:val="307"/>
    <w:next w:val="307"/>
    <w:link w:val="305"/>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7">
    <w:name w:val="应答文本"/>
    <w:basedOn w:val="1"/>
    <w:link w:val="322"/>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8">
    <w:name w:val="普通文字 Char2"/>
    <w:qFormat/>
    <w:uiPriority w:val="0"/>
    <w:rPr>
      <w:rFonts w:ascii="宋体" w:hAnsi="Courier New" w:eastAsia="宋体"/>
      <w:kern w:val="2"/>
      <w:sz w:val="21"/>
      <w:lang w:val="en-US" w:eastAsia="zh-CN" w:bidi="ar-SA"/>
    </w:rPr>
  </w:style>
  <w:style w:type="character" w:customStyle="1" w:styleId="309">
    <w:name w:val="样式 标题 1标题 1 111121314151111211311611212213217113... Char Char"/>
    <w:link w:val="310"/>
    <w:qFormat/>
    <w:uiPriority w:val="0"/>
    <w:rPr>
      <w:rFonts w:ascii="宋体" w:hAnsi="宋体" w:eastAsia="黑体"/>
      <w:bCs/>
      <w:kern w:val="44"/>
      <w:sz w:val="48"/>
      <w:szCs w:val="32"/>
    </w:rPr>
  </w:style>
  <w:style w:type="paragraph" w:customStyle="1" w:styleId="310">
    <w:name w:val="样式 标题 1标题 1 111121314151111211311611212213217113..."/>
    <w:basedOn w:val="6"/>
    <w:link w:val="309"/>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1">
    <w:name w:val="even Char Char"/>
    <w:qFormat/>
    <w:uiPriority w:val="0"/>
    <w:rPr>
      <w:rFonts w:eastAsia="宋体"/>
      <w:kern w:val="2"/>
      <w:sz w:val="18"/>
      <w:szCs w:val="24"/>
      <w:lang w:val="en-US" w:eastAsia="zh-CN" w:bidi="ar-SA"/>
    </w:rPr>
  </w:style>
  <w:style w:type="character" w:customStyle="1" w:styleId="312">
    <w:name w:val="样式 标题 4Para4CDR_Lev 4Title3h44 dashddash + (符号) 宋体 加粗 Char Char"/>
    <w:link w:val="313"/>
    <w:qFormat/>
    <w:uiPriority w:val="0"/>
    <w:rPr>
      <w:rFonts w:ascii="Arial" w:hAnsi="Arial" w:eastAsia="黑体"/>
      <w:snapToGrid w:val="0"/>
      <w:sz w:val="28"/>
      <w:szCs w:val="24"/>
    </w:rPr>
  </w:style>
  <w:style w:type="paragraph" w:customStyle="1" w:styleId="313">
    <w:name w:val="样式 标题 4Para4CDR_Lev 4Title3h44 dashddash + (符号) 宋体 加粗"/>
    <w:basedOn w:val="9"/>
    <w:link w:val="312"/>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4">
    <w:name w:val="纯文本 Char"/>
    <w:qFormat/>
    <w:uiPriority w:val="0"/>
    <w:rPr>
      <w:rFonts w:ascii="宋体" w:hAnsi="Courier New" w:cs="Courier New"/>
      <w:kern w:val="2"/>
      <w:sz w:val="21"/>
      <w:szCs w:val="21"/>
    </w:rPr>
  </w:style>
  <w:style w:type="character" w:customStyle="1" w:styleId="315">
    <w:name w:val="style131"/>
    <w:qFormat/>
    <w:uiPriority w:val="0"/>
    <w:rPr>
      <w:rFonts w:eastAsia="宋体"/>
      <w:kern w:val="2"/>
      <w:sz w:val="24"/>
      <w:szCs w:val="24"/>
      <w:lang w:val="en-US" w:eastAsia="zh-CN" w:bidi="ar-SA"/>
    </w:rPr>
  </w:style>
  <w:style w:type="character" w:customStyle="1" w:styleId="316">
    <w:name w:val="样式 样式 标题 2标题 1.1第一层条第二层论文标题 1Para2Title1H2h22l2list + ch...1 + 右...1 Char Char"/>
    <w:basedOn w:val="317"/>
    <w:link w:val="303"/>
    <w:qFormat/>
    <w:uiPriority w:val="0"/>
    <w:rPr>
      <w:rFonts w:ascii="Arial" w:hAnsi="Arial" w:cs="宋体"/>
      <w:color w:val="000000"/>
      <w:sz w:val="24"/>
      <w:szCs w:val="24"/>
    </w:rPr>
  </w:style>
  <w:style w:type="character" w:customStyle="1" w:styleId="317">
    <w:name w:val="样式 标题 2标题 1.1第一层条第二层论文标题 1Para2Title1H2h22l2list + ch...1 Char Char"/>
    <w:link w:val="304"/>
    <w:qFormat/>
    <w:uiPriority w:val="0"/>
    <w:rPr>
      <w:rFonts w:ascii="Arial" w:hAnsi="Arial" w:cs="宋体"/>
      <w:b/>
      <w:color w:val="000000"/>
      <w:sz w:val="24"/>
      <w:szCs w:val="24"/>
    </w:rPr>
  </w:style>
  <w:style w:type="character" w:customStyle="1" w:styleId="318">
    <w:name w:val="Char Char Char Char Char Char"/>
    <w:qFormat/>
    <w:uiPriority w:val="0"/>
    <w:rPr>
      <w:rFonts w:ascii="宋体" w:hAnsi="Courier New" w:eastAsia="宋体"/>
      <w:kern w:val="2"/>
      <w:sz w:val="21"/>
      <w:lang w:val="en-US" w:eastAsia="zh-CN" w:bidi="ar-SA"/>
    </w:rPr>
  </w:style>
  <w:style w:type="character" w:customStyle="1" w:styleId="319">
    <w:name w:val="页码2"/>
    <w:basedOn w:val="49"/>
    <w:qFormat/>
    <w:uiPriority w:val="0"/>
  </w:style>
  <w:style w:type="character" w:customStyle="1" w:styleId="320">
    <w:name w:val="样式 样式 样式 样式 标题 2标题 1.1第一层条第二层论文标题 1Para2Title1H2h22l2list + ch..... Char Char"/>
    <w:link w:val="321"/>
    <w:qFormat/>
    <w:uiPriority w:val="0"/>
    <w:rPr>
      <w:rFonts w:ascii="宋体" w:hAnsi="宋体" w:cs="宋体"/>
      <w:b/>
      <w:color w:val="000000"/>
      <w:szCs w:val="28"/>
    </w:rPr>
  </w:style>
  <w:style w:type="paragraph" w:customStyle="1" w:styleId="321">
    <w:name w:val="样式 样式 样式 样式 标题 2标题 1.1第一层条第二层论文标题 1Para2Title1H2h22l2list + ch....."/>
    <w:basedOn w:val="302"/>
    <w:link w:val="320"/>
    <w:qFormat/>
    <w:uiPriority w:val="0"/>
    <w:pPr>
      <w:spacing w:before="50" w:after="50"/>
      <w:ind w:left="1134" w:right="50" w:hanging="1134"/>
    </w:pPr>
    <w:rPr>
      <w:rFonts w:ascii="宋体" w:hAnsi="宋体"/>
      <w:sz w:val="20"/>
    </w:rPr>
  </w:style>
  <w:style w:type="character" w:customStyle="1" w:styleId="322">
    <w:name w:val="应答文本 Char Char"/>
    <w:link w:val="307"/>
    <w:qFormat/>
    <w:uiPriority w:val="0"/>
    <w:rPr>
      <w:rFonts w:ascii="Arial" w:hAnsi="Arial" w:eastAsia="楷体_GB2312" w:cs="宋体"/>
      <w:spacing w:val="10"/>
      <w:szCs w:val="24"/>
    </w:rPr>
  </w:style>
  <w:style w:type="paragraph" w:customStyle="1" w:styleId="323">
    <w:name w:val="章标题"/>
    <w:next w:val="324"/>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5">
    <w:name w:val="表格"/>
    <w:basedOn w:val="1"/>
    <w:qFormat/>
    <w:uiPriority w:val="0"/>
    <w:pPr>
      <w:jc w:val="center"/>
    </w:pPr>
    <w:rPr>
      <w:rFonts w:ascii="华文细黑" w:hAnsi="华文细黑"/>
      <w:kern w:val="0"/>
      <w:szCs w:val="20"/>
    </w:rPr>
  </w:style>
  <w:style w:type="paragraph" w:customStyle="1" w:styleId="326">
    <w:name w:val="_Style 11"/>
    <w:basedOn w:val="18"/>
    <w:qFormat/>
    <w:uiPriority w:val="0"/>
  </w:style>
  <w:style w:type="paragraph" w:customStyle="1" w:styleId="327">
    <w:name w:val="Char2"/>
    <w:basedOn w:val="1"/>
    <w:qFormat/>
    <w:uiPriority w:val="0"/>
    <w:rPr>
      <w:sz w:val="24"/>
    </w:rPr>
  </w:style>
  <w:style w:type="paragraph" w:customStyle="1" w:styleId="328">
    <w:name w:val="正文文本缩进1"/>
    <w:basedOn w:val="1"/>
    <w:qFormat/>
    <w:uiPriority w:val="0"/>
    <w:pPr>
      <w:ind w:firstLine="420" w:firstLineChars="200"/>
    </w:pPr>
  </w:style>
  <w:style w:type="paragraph" w:customStyle="1" w:styleId="329">
    <w:name w:val="正文缩进11"/>
    <w:basedOn w:val="1"/>
    <w:qFormat/>
    <w:uiPriority w:val="0"/>
    <w:pPr>
      <w:tabs>
        <w:tab w:val="left" w:pos="720"/>
      </w:tabs>
      <w:ind w:left="624" w:hanging="624"/>
      <w:textAlignment w:val="baseline"/>
    </w:pPr>
    <w:rPr>
      <w:rFonts w:hint="eastAsia" w:ascii="宋体"/>
      <w:szCs w:val="22"/>
    </w:rPr>
  </w:style>
  <w:style w:type="paragraph" w:customStyle="1" w:styleId="330">
    <w:name w:val="样式 行距: 1.5 倍行距"/>
    <w:basedOn w:val="1"/>
    <w:qFormat/>
    <w:uiPriority w:val="0"/>
    <w:pPr>
      <w:spacing w:line="360" w:lineRule="auto"/>
    </w:pPr>
    <w:rPr>
      <w:rFonts w:cs="宋体"/>
      <w:szCs w:val="20"/>
    </w:rPr>
  </w:style>
  <w:style w:type="paragraph" w:customStyle="1" w:styleId="331">
    <w:name w:val="Char Char1 Char Char Char Char Char Char Char Char Char Char"/>
    <w:basedOn w:val="1"/>
    <w:qFormat/>
    <w:uiPriority w:val="0"/>
    <w:rPr>
      <w:sz w:val="24"/>
    </w:rPr>
  </w:style>
  <w:style w:type="paragraph" w:customStyle="1" w:styleId="332">
    <w:name w:val="Char Char17 Char Char"/>
    <w:basedOn w:val="18"/>
    <w:qFormat/>
    <w:uiPriority w:val="0"/>
    <w:pPr>
      <w:widowControl/>
      <w:jc w:val="left"/>
    </w:pPr>
  </w:style>
  <w:style w:type="paragraph" w:customStyle="1" w:styleId="333">
    <w:name w:val="目录文字"/>
    <w:basedOn w:val="1"/>
    <w:qFormat/>
    <w:uiPriority w:val="0"/>
    <w:pPr>
      <w:widowControl/>
      <w:spacing w:line="480" w:lineRule="auto"/>
      <w:jc w:val="left"/>
    </w:pPr>
    <w:rPr>
      <w:rFonts w:ascii="宋体" w:hAnsi="宋体"/>
      <w:kern w:val="0"/>
      <w:sz w:val="24"/>
      <w:szCs w:val="20"/>
    </w:rPr>
  </w:style>
  <w:style w:type="paragraph" w:customStyle="1" w:styleId="334">
    <w:name w:val="TOC 标题1"/>
    <w:basedOn w:val="6"/>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5">
    <w:name w:val="Char Char Char Char Char Char Char Char Char Char Char Char Char Char Char Char"/>
    <w:basedOn w:val="1"/>
    <w:qFormat/>
    <w:uiPriority w:val="0"/>
    <w:rPr>
      <w:szCs w:val="20"/>
    </w:rPr>
  </w:style>
  <w:style w:type="paragraph" w:styleId="336">
    <w:name w:val="List Paragraph"/>
    <w:basedOn w:val="1"/>
    <w:qFormat/>
    <w:uiPriority w:val="0"/>
    <w:pPr>
      <w:ind w:firstLine="420" w:firstLineChars="200"/>
    </w:pPr>
  </w:style>
  <w:style w:type="paragraph" w:customStyle="1" w:styleId="337">
    <w:name w:val="日期1"/>
    <w:basedOn w:val="1"/>
    <w:next w:val="1"/>
    <w:qFormat/>
    <w:uiPriority w:val="0"/>
    <w:pPr>
      <w:ind w:left="100" w:leftChars="2500"/>
    </w:pPr>
  </w:style>
  <w:style w:type="paragraph" w:customStyle="1" w:styleId="338">
    <w:name w:val="普通(网站)1"/>
    <w:basedOn w:val="1"/>
    <w:qFormat/>
    <w:uiPriority w:val="0"/>
    <w:pPr>
      <w:widowControl/>
      <w:jc w:val="left"/>
    </w:pPr>
    <w:rPr>
      <w:rFonts w:hint="eastAsia" w:ascii="宋体" w:hAnsi="宋体"/>
      <w:sz w:val="24"/>
    </w:rPr>
  </w:style>
  <w:style w:type="paragraph" w:customStyle="1" w:styleId="339">
    <w:name w:val="文档结构图1"/>
    <w:basedOn w:val="1"/>
    <w:qFormat/>
    <w:uiPriority w:val="0"/>
    <w:pPr>
      <w:shd w:val="clear" w:color="auto" w:fill="000080"/>
    </w:pPr>
  </w:style>
  <w:style w:type="paragraph" w:customStyle="1" w:styleId="340">
    <w:name w:val="_Style 3"/>
    <w:basedOn w:val="6"/>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1">
    <w:name w:val="TOC 标题2"/>
    <w:basedOn w:val="6"/>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2">
    <w:name w:val="正文文本 22"/>
    <w:basedOn w:val="1"/>
    <w:qFormat/>
    <w:uiPriority w:val="0"/>
    <w:pPr>
      <w:spacing w:after="120" w:line="480" w:lineRule="auto"/>
    </w:pPr>
  </w:style>
  <w:style w:type="paragraph" w:customStyle="1" w:styleId="343">
    <w:name w:val="Char Char Char Char"/>
    <w:basedOn w:val="1"/>
    <w:qFormat/>
    <w:uiPriority w:val="0"/>
  </w:style>
  <w:style w:type="paragraph" w:customStyle="1" w:styleId="344">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5">
    <w:name w:val="右侧正文"/>
    <w:basedOn w:val="1"/>
    <w:qFormat/>
    <w:uiPriority w:val="0"/>
    <w:pPr>
      <w:spacing w:line="360" w:lineRule="auto"/>
    </w:pPr>
    <w:rPr>
      <w:rFonts w:ascii="宋体" w:hAnsi="宋体"/>
      <w:sz w:val="24"/>
      <w:szCs w:val="28"/>
    </w:rPr>
  </w:style>
  <w:style w:type="paragraph" w:customStyle="1" w:styleId="346">
    <w:name w:val="WPSOffice手动目录 1"/>
    <w:qFormat/>
    <w:uiPriority w:val="0"/>
    <w:rPr>
      <w:rFonts w:ascii="Times New Roman" w:hAnsi="Times New Roman" w:eastAsia="宋体" w:cs="Times New Roman"/>
      <w:lang w:val="en-US" w:eastAsia="zh-CN" w:bidi="ar-SA"/>
    </w:rPr>
  </w:style>
  <w:style w:type="paragraph" w:customStyle="1" w:styleId="3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8">
    <w:name w:val="页码3"/>
    <w:basedOn w:val="49"/>
    <w:qFormat/>
    <w:uiPriority w:val="0"/>
  </w:style>
  <w:style w:type="paragraph" w:customStyle="1" w:styleId="349">
    <w:name w:val="普通(网站)2"/>
    <w:basedOn w:val="1"/>
    <w:qFormat/>
    <w:uiPriority w:val="0"/>
    <w:pPr>
      <w:widowControl/>
      <w:jc w:val="left"/>
    </w:pPr>
    <w:rPr>
      <w:rFonts w:hint="eastAsia" w:ascii="宋体" w:hAnsi="宋体"/>
      <w:sz w:val="24"/>
    </w:rPr>
  </w:style>
  <w:style w:type="character" w:customStyle="1" w:styleId="350">
    <w:name w:val="页脚 字符1"/>
    <w:basedOn w:val="49"/>
    <w:semiHidden/>
    <w:qFormat/>
    <w:uiPriority w:val="99"/>
    <w:rPr>
      <w:kern w:val="2"/>
      <w:sz w:val="18"/>
      <w:szCs w:val="18"/>
    </w:rPr>
  </w:style>
  <w:style w:type="paragraph" w:customStyle="1" w:styleId="351">
    <w:name w:val="正文文本 23"/>
    <w:basedOn w:val="1"/>
    <w:qFormat/>
    <w:uiPriority w:val="0"/>
    <w:pPr>
      <w:spacing w:after="120" w:line="480" w:lineRule="auto"/>
    </w:pPr>
  </w:style>
  <w:style w:type="character" w:customStyle="1" w:styleId="352">
    <w:name w:val="页眉 字符1"/>
    <w:basedOn w:val="49"/>
    <w:semiHidden/>
    <w:qFormat/>
    <w:uiPriority w:val="99"/>
    <w:rPr>
      <w:kern w:val="2"/>
      <w:sz w:val="18"/>
      <w:szCs w:val="18"/>
    </w:rPr>
  </w:style>
  <w:style w:type="paragraph" w:customStyle="1" w:styleId="353">
    <w:name w:val="文档结构图2"/>
    <w:basedOn w:val="1"/>
    <w:qFormat/>
    <w:uiPriority w:val="0"/>
    <w:pPr>
      <w:shd w:val="clear" w:color="auto" w:fill="000080"/>
    </w:pPr>
  </w:style>
  <w:style w:type="paragraph" w:customStyle="1" w:styleId="3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5">
    <w:name w:val="正文文本缩进2"/>
    <w:basedOn w:val="1"/>
    <w:qFormat/>
    <w:uiPriority w:val="0"/>
    <w:pPr>
      <w:ind w:firstLine="420" w:firstLineChars="200"/>
    </w:pPr>
  </w:style>
  <w:style w:type="paragraph" w:customStyle="1" w:styleId="356">
    <w:name w:val="日期2"/>
    <w:basedOn w:val="1"/>
    <w:next w:val="1"/>
    <w:qFormat/>
    <w:uiPriority w:val="0"/>
    <w:pPr>
      <w:ind w:left="100" w:leftChars="2500"/>
    </w:pPr>
  </w:style>
  <w:style w:type="paragraph" w:customStyle="1" w:styleId="357">
    <w:name w:val="样式3"/>
    <w:basedOn w:val="1"/>
    <w:qFormat/>
    <w:uiPriority w:val="0"/>
    <w:pPr>
      <w:spacing w:line="360" w:lineRule="auto"/>
      <w:ind w:firstLine="480"/>
      <w:jc w:val="left"/>
    </w:pPr>
    <w:rPr>
      <w:rFonts w:ascii="宋体"/>
      <w:sz w:val="24"/>
      <w:szCs w:val="22"/>
    </w:rPr>
  </w:style>
  <w:style w:type="paragraph" w:customStyle="1" w:styleId="358">
    <w:name w:val="附录图标题"/>
    <w:basedOn w:val="1"/>
    <w:next w:val="324"/>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9">
    <w:name w:val="正文表标题"/>
    <w:next w:val="324"/>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0">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1">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2">
    <w:name w:val="列项◆（三级）"/>
    <w:basedOn w:val="1"/>
    <w:qFormat/>
    <w:uiPriority w:val="0"/>
    <w:pPr>
      <w:numPr>
        <w:ilvl w:val="2"/>
        <w:numId w:val="4"/>
      </w:numPr>
      <w:tabs>
        <w:tab w:val="left" w:pos="1678"/>
      </w:tabs>
    </w:pPr>
    <w:rPr>
      <w:rFonts w:ascii="宋体"/>
      <w:szCs w:val="21"/>
    </w:rPr>
  </w:style>
  <w:style w:type="paragraph" w:customStyle="1" w:styleId="363">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4">
    <w:name w:val="附录章标题"/>
    <w:next w:val="324"/>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5">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E7CA47-0283-4058-B383-FCC9AD4C6B5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59</Pages>
  <Words>23523</Words>
  <Characters>24459</Characters>
  <Lines>42</Lines>
  <Paragraphs>57</Paragraphs>
  <TotalTime>9</TotalTime>
  <ScaleCrop>false</ScaleCrop>
  <LinksUpToDate>false</LinksUpToDate>
  <CharactersWithSpaces>25875</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2021-05-17T02:20:00Z</dcterms:created>
  <dc:creator>李 毅</dc:creator>
  <cp:lastModifiedBy>杨喜笑</cp:lastModifiedBy>
  <cp:lastPrinted>2023-03-13T01:46:00Z</cp:lastPrinted>
  <dcterms:modified xsi:type="dcterms:W3CDTF">2023-04-03T08:26:58Z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7C874A77AA8D4DEBB146A54206B9C58F</vt:lpwstr>
  </property>
</Properties>
</file>